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after="0" w:line="560" w:lineRule="exact"/>
        <w:jc w:val="center"/>
        <w:textAlignment w:val="auto"/>
        <w:rPr>
          <w:rFonts w:hint="eastAsia" w:ascii="Times New Roman" w:hAnsi="Times New Roman" w:eastAsia="方正小标宋简体" w:cs="Times New Roman"/>
          <w:color w:val="auto"/>
          <w:sz w:val="44"/>
          <w:szCs w:val="44"/>
          <w:highlight w:val="none"/>
          <w:lang w:eastAsia="zh-CN"/>
        </w:rPr>
      </w:pPr>
    </w:p>
    <w:p>
      <w:pPr>
        <w:keepNext w:val="0"/>
        <w:keepLines w:val="0"/>
        <w:pageBreakBefore w:val="0"/>
        <w:widowControl w:val="0"/>
        <w:kinsoku/>
        <w:overflowPunct/>
        <w:topLinePunct w:val="0"/>
        <w:autoSpaceDE/>
        <w:autoSpaceDN/>
        <w:bidi w:val="0"/>
        <w:adjustRightInd/>
        <w:spacing w:after="0" w:line="560" w:lineRule="exact"/>
        <w:jc w:val="center"/>
        <w:textAlignment w:val="auto"/>
        <w:rPr>
          <w:rFonts w:hint="eastAsia" w:ascii="Times New Roman" w:hAnsi="Times New Roman" w:eastAsia="方正小标宋简体" w:cs="Times New Roman"/>
          <w:color w:val="auto"/>
          <w:sz w:val="44"/>
          <w:szCs w:val="44"/>
          <w:highlight w:val="none"/>
          <w:lang w:eastAsia="zh-CN"/>
        </w:rPr>
      </w:pPr>
    </w:p>
    <w:p>
      <w:pPr>
        <w:keepNext w:val="0"/>
        <w:keepLines w:val="0"/>
        <w:pageBreakBefore w:val="0"/>
        <w:widowControl w:val="0"/>
        <w:kinsoku/>
        <w:overflowPunct/>
        <w:topLinePunct w:val="0"/>
        <w:autoSpaceDE/>
        <w:autoSpaceDN/>
        <w:bidi w:val="0"/>
        <w:adjustRightInd/>
        <w:spacing w:after="0" w:line="560" w:lineRule="exact"/>
        <w:jc w:val="center"/>
        <w:textAlignment w:val="auto"/>
        <w:rPr>
          <w:rFonts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lang w:eastAsia="zh-CN"/>
        </w:rPr>
        <w:t>天津市国资委对《</w:t>
      </w:r>
      <w:r>
        <w:rPr>
          <w:rFonts w:ascii="Times New Roman" w:hAnsi="Times New Roman" w:eastAsia="方正小标宋简体" w:cs="Times New Roman"/>
          <w:color w:val="auto"/>
          <w:sz w:val="44"/>
          <w:szCs w:val="44"/>
          <w:highlight w:val="none"/>
        </w:rPr>
        <w:t>市国资委关于规范监管企业评估机构选聘及评价管理有关事项的通知</w:t>
      </w:r>
    </w:p>
    <w:p>
      <w:pPr>
        <w:keepNext w:val="0"/>
        <w:keepLines w:val="0"/>
        <w:pageBreakBefore w:val="0"/>
        <w:widowControl w:val="0"/>
        <w:kinsoku/>
        <w:overflowPunct/>
        <w:topLinePunct w:val="0"/>
        <w:autoSpaceDE/>
        <w:autoSpaceDN/>
        <w:bidi w:val="0"/>
        <w:adjustRightInd/>
        <w:spacing w:after="0" w:line="560" w:lineRule="exact"/>
        <w:jc w:val="center"/>
        <w:textAlignment w:val="auto"/>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（征求意见稿）</w:t>
      </w:r>
      <w:r>
        <w:rPr>
          <w:rFonts w:hint="eastAsia" w:ascii="Times New Roman" w:hAnsi="Times New Roman" w:eastAsia="方正小标宋简体" w:cs="Times New Roman"/>
          <w:color w:val="auto"/>
          <w:sz w:val="44"/>
          <w:szCs w:val="44"/>
          <w:highlight w:val="none"/>
          <w:lang w:eastAsia="zh-CN"/>
        </w:rPr>
        <w:t>》</w:t>
      </w:r>
      <w:r>
        <w:rPr>
          <w:rFonts w:ascii="Times New Roman" w:hAnsi="Times New Roman" w:eastAsia="方正小标宋简体" w:cs="Times New Roman"/>
          <w:color w:val="auto"/>
          <w:sz w:val="44"/>
          <w:szCs w:val="44"/>
          <w:highlight w:val="none"/>
        </w:rPr>
        <w:t>公开征求意见的通知</w:t>
      </w:r>
    </w:p>
    <w:p>
      <w:pPr>
        <w:pStyle w:val="6"/>
        <w:keepNext w:val="0"/>
        <w:keepLines w:val="0"/>
        <w:pageBreakBefore w:val="0"/>
        <w:kinsoku/>
        <w:overflowPunct/>
        <w:topLinePunct w:val="0"/>
        <w:autoSpaceDE/>
        <w:autoSpaceDN/>
        <w:bidi w:val="0"/>
        <w:snapToGrid w:val="0"/>
        <w:spacing w:after="0" w:line="560" w:lineRule="exact"/>
        <w:textAlignment w:val="auto"/>
        <w:rPr>
          <w:rFonts w:eastAsia="仿宋_GB2312"/>
          <w:color w:val="auto"/>
          <w:sz w:val="32"/>
          <w:szCs w:val="32"/>
          <w:highlight w:val="none"/>
        </w:rPr>
      </w:pP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kern w:val="2"/>
          <w:sz w:val="32"/>
          <w:szCs w:val="32"/>
          <w:highlight w:val="none"/>
          <w:lang w:val="en-US" w:eastAsia="zh-CN" w:bidi="ar-SA"/>
        </w:rPr>
      </w:pPr>
      <w:r>
        <w:rPr>
          <w:rFonts w:ascii="Times New Roman" w:hAnsi="Times New Roman" w:eastAsia="仿宋_GB2312" w:cs="Times New Roman"/>
          <w:color w:val="auto"/>
          <w:kern w:val="2"/>
          <w:sz w:val="32"/>
          <w:szCs w:val="32"/>
          <w:highlight w:val="none"/>
          <w:lang w:val="en-US" w:eastAsia="zh-CN" w:bidi="ar-SA"/>
        </w:rPr>
        <w:t>为进一步规范</w:t>
      </w:r>
      <w:r>
        <w:rPr>
          <w:rFonts w:hint="eastAsia" w:ascii="Times New Roman" w:hAnsi="Times New Roman" w:eastAsia="仿宋_GB2312" w:cs="Times New Roman"/>
          <w:color w:val="auto"/>
          <w:kern w:val="2"/>
          <w:sz w:val="32"/>
          <w:szCs w:val="32"/>
          <w:highlight w:val="none"/>
          <w:lang w:val="en-US" w:eastAsia="zh-CN" w:bidi="ar-SA"/>
        </w:rPr>
        <w:t>监管</w:t>
      </w:r>
      <w:bookmarkStart w:id="6" w:name="_GoBack"/>
      <w:bookmarkEnd w:id="6"/>
      <w:r>
        <w:rPr>
          <w:rFonts w:ascii="Times New Roman" w:hAnsi="Times New Roman" w:eastAsia="仿宋_GB2312" w:cs="Times New Roman"/>
          <w:color w:val="auto"/>
          <w:kern w:val="2"/>
          <w:sz w:val="32"/>
          <w:szCs w:val="32"/>
          <w:highlight w:val="none"/>
          <w:lang w:val="en-US" w:eastAsia="zh-CN" w:bidi="ar-SA"/>
        </w:rPr>
        <w:t>企业</w:t>
      </w:r>
      <w:r>
        <w:rPr>
          <w:rFonts w:hint="eastAsia" w:ascii="Times New Roman" w:hAnsi="Times New Roman" w:eastAsia="仿宋_GB2312" w:cs="Times New Roman"/>
          <w:color w:val="auto"/>
          <w:kern w:val="2"/>
          <w:sz w:val="32"/>
          <w:szCs w:val="32"/>
          <w:highlight w:val="none"/>
          <w:lang w:val="en-US" w:eastAsia="zh-CN" w:bidi="ar-SA"/>
        </w:rPr>
        <w:t>评估机构选聘及评价管理</w:t>
      </w:r>
      <w:r>
        <w:rPr>
          <w:rFonts w:ascii="Times New Roman" w:hAnsi="Times New Roman" w:eastAsia="仿宋_GB2312" w:cs="Times New Roman"/>
          <w:color w:val="auto"/>
          <w:kern w:val="2"/>
          <w:sz w:val="32"/>
          <w:szCs w:val="32"/>
          <w:highlight w:val="none"/>
          <w:lang w:val="en-US" w:eastAsia="zh-CN" w:bidi="ar-SA"/>
        </w:rPr>
        <w:t>，我们拟定了《市国资委关于规范监管企业评估机构选聘及评价管理有关事项的通知（征求意见稿）》，现予以公布，向社会公开征求意见。请于</w:t>
      </w:r>
      <w:r>
        <w:rPr>
          <w:rFonts w:hint="eastAsia" w:ascii="Times New Roman" w:hAnsi="Times New Roman" w:eastAsia="仿宋_GB2312" w:cs="Times New Roman"/>
          <w:color w:val="auto"/>
          <w:kern w:val="2"/>
          <w:sz w:val="32"/>
          <w:szCs w:val="32"/>
          <w:highlight w:val="none"/>
          <w:lang w:val="en-US" w:eastAsia="zh-CN" w:bidi="ar-SA"/>
        </w:rPr>
        <w:t>8</w:t>
      </w:r>
      <w:r>
        <w:rPr>
          <w:rFonts w:ascii="Times New Roman" w:hAnsi="Times New Roman" w:eastAsia="仿宋_GB2312" w:cs="Times New Roman"/>
          <w:color w:val="auto"/>
          <w:kern w:val="2"/>
          <w:sz w:val="32"/>
          <w:szCs w:val="32"/>
          <w:highlight w:val="none"/>
          <w:lang w:val="en-US" w:eastAsia="zh-CN" w:bidi="ar-SA"/>
        </w:rPr>
        <w:t>月</w:t>
      </w:r>
      <w:r>
        <w:rPr>
          <w:rFonts w:hint="eastAsia" w:ascii="Times New Roman" w:hAnsi="Times New Roman" w:eastAsia="仿宋_GB2312" w:cs="Times New Roman"/>
          <w:color w:val="auto"/>
          <w:kern w:val="2"/>
          <w:sz w:val="32"/>
          <w:szCs w:val="32"/>
          <w:highlight w:val="none"/>
          <w:lang w:val="en-US" w:eastAsia="zh-CN" w:bidi="ar-SA"/>
        </w:rPr>
        <w:t>13</w:t>
      </w:r>
      <w:r>
        <w:rPr>
          <w:rFonts w:ascii="Times New Roman" w:hAnsi="Times New Roman" w:eastAsia="仿宋_GB2312" w:cs="Times New Roman"/>
          <w:color w:val="auto"/>
          <w:kern w:val="2"/>
          <w:sz w:val="32"/>
          <w:szCs w:val="32"/>
          <w:highlight w:val="none"/>
          <w:lang w:val="en-US" w:eastAsia="zh-CN" w:bidi="ar-SA"/>
        </w:rPr>
        <w:t>日18：00前，将意见或建议以邮件形式予以反馈（逾期不反馈视为无意见）。</w:t>
      </w: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color w:val="auto"/>
          <w:sz w:val="32"/>
          <w:szCs w:val="32"/>
          <w:highlight w:val="none"/>
        </w:rPr>
        <w:t>联系人：</w:t>
      </w:r>
      <w:r>
        <w:rPr>
          <w:rFonts w:hint="eastAsia" w:ascii="Times New Roman" w:hAnsi="Times New Roman" w:eastAsia="仿宋_GB2312" w:cs="Times New Roman"/>
          <w:color w:val="auto"/>
          <w:sz w:val="32"/>
          <w:szCs w:val="32"/>
          <w:highlight w:val="none"/>
          <w:lang w:eastAsia="zh-CN"/>
        </w:rPr>
        <w:t>王玉平</w:t>
      </w:r>
      <w:r>
        <w:rPr>
          <w:rFonts w:hint="eastAsia" w:ascii="Times New Roman" w:hAnsi="Times New Roman" w:eastAsia="仿宋_GB2312" w:cs="Times New Roman"/>
          <w:color w:val="auto"/>
          <w:sz w:val="32"/>
          <w:szCs w:val="32"/>
          <w:highlight w:val="none"/>
          <w:lang w:val="en-US" w:eastAsia="zh-CN"/>
        </w:rPr>
        <w:t xml:space="preserve">  胡培</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color w:val="auto"/>
          <w:sz w:val="32"/>
          <w:szCs w:val="32"/>
          <w:highlight w:val="none"/>
        </w:rPr>
        <w:t>联系电话：022</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8360</w:t>
      </w:r>
      <w:r>
        <w:rPr>
          <w:rFonts w:hint="eastAsia" w:ascii="Times New Roman" w:hAnsi="Times New Roman" w:eastAsia="仿宋_GB2312" w:cs="Times New Roman"/>
          <w:color w:val="auto"/>
          <w:sz w:val="32"/>
          <w:szCs w:val="32"/>
          <w:highlight w:val="none"/>
          <w:lang w:val="en-US" w:eastAsia="zh-CN"/>
        </w:rPr>
        <w:t>9860  022—83607702</w:t>
      </w: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邮箱：hupei@tj.gov.cn</w:t>
      </w: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附件：《市国资委</w:t>
      </w:r>
      <w:r>
        <w:rPr>
          <w:rFonts w:ascii="Times New Roman" w:hAnsi="Times New Roman" w:eastAsia="仿宋_GB2312" w:cs="Times New Roman"/>
          <w:color w:val="auto"/>
          <w:kern w:val="2"/>
          <w:sz w:val="32"/>
          <w:szCs w:val="32"/>
          <w:highlight w:val="none"/>
          <w:lang w:val="en-US" w:eastAsia="zh-CN" w:bidi="ar-SA"/>
        </w:rPr>
        <w:t>关于</w:t>
      </w:r>
      <w:r>
        <w:rPr>
          <w:rFonts w:ascii="Times New Roman" w:hAnsi="Times New Roman" w:eastAsia="仿宋_GB2312" w:cs="Times New Roman"/>
          <w:color w:val="auto"/>
          <w:sz w:val="32"/>
          <w:szCs w:val="32"/>
          <w:highlight w:val="none"/>
        </w:rPr>
        <w:t>规范监管企业评估机构选聘及评价</w:t>
      </w:r>
    </w:p>
    <w:p>
      <w:pPr>
        <w:keepNext w:val="0"/>
        <w:keepLines w:val="0"/>
        <w:pageBreakBefore w:val="0"/>
        <w:kinsoku/>
        <w:overflowPunct/>
        <w:topLinePunct w:val="0"/>
        <w:autoSpaceDE/>
        <w:autoSpaceDN/>
        <w:bidi w:val="0"/>
        <w:adjustRightInd w:val="0"/>
        <w:snapToGrid w:val="0"/>
        <w:spacing w:line="560" w:lineRule="exact"/>
        <w:ind w:firstLine="1600" w:firstLineChars="5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管理</w:t>
      </w:r>
      <w:r>
        <w:rPr>
          <w:rFonts w:ascii="Times New Roman" w:hAnsi="Times New Roman" w:eastAsia="仿宋_GB2312" w:cs="Times New Roman"/>
          <w:color w:val="auto"/>
          <w:kern w:val="2"/>
          <w:sz w:val="32"/>
          <w:szCs w:val="32"/>
          <w:highlight w:val="none"/>
          <w:lang w:val="en-US" w:eastAsia="zh-CN" w:bidi="ar-SA"/>
        </w:rPr>
        <w:t>有关</w:t>
      </w:r>
      <w:r>
        <w:rPr>
          <w:rFonts w:ascii="Times New Roman" w:hAnsi="Times New Roman" w:eastAsia="仿宋_GB2312" w:cs="Times New Roman"/>
          <w:color w:val="auto"/>
          <w:sz w:val="32"/>
          <w:szCs w:val="32"/>
          <w:highlight w:val="none"/>
        </w:rPr>
        <w:t>事项的通知（征求意见稿）》</w:t>
      </w: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highlight w:val="none"/>
        </w:rPr>
      </w:pPr>
    </w:p>
    <w:p>
      <w:pPr>
        <w:keepNext w:val="0"/>
        <w:keepLines w:val="0"/>
        <w:pageBreakBefore w:val="0"/>
        <w:kinsoku/>
        <w:overflowPunct/>
        <w:topLinePunct w:val="0"/>
        <w:autoSpaceDE/>
        <w:autoSpaceDN/>
        <w:bidi w:val="0"/>
        <w:spacing w:line="560" w:lineRule="exact"/>
        <w:ind w:firstLine="4800" w:firstLineChars="15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8</w:t>
      </w:r>
      <w:r>
        <w:rPr>
          <w:rFonts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日</w:t>
      </w:r>
    </w:p>
    <w:p>
      <w:pPr>
        <w:pStyle w:val="3"/>
        <w:keepNext w:val="0"/>
        <w:keepLines w:val="0"/>
        <w:pageBreakBefore w:val="0"/>
        <w:widowControl/>
        <w:shd w:val="clear" w:color="auto" w:fill="FFFFFF"/>
        <w:kinsoku/>
        <w:wordWrap w:val="0"/>
        <w:overflowPunct/>
        <w:topLinePunct w:val="0"/>
        <w:autoSpaceDE/>
        <w:autoSpaceDN/>
        <w:bidi w:val="0"/>
        <w:spacing w:before="0" w:beforeAutospacing="0" w:after="0" w:afterAutospacing="0" w:line="560" w:lineRule="exact"/>
        <w:textAlignment w:val="auto"/>
        <w:rPr>
          <w:rFonts w:ascii="Times New Roman" w:hAnsi="Times New Roman" w:eastAsia="黑体"/>
          <w:color w:val="auto"/>
          <w:sz w:val="32"/>
          <w:highlight w:val="none"/>
          <w:lang w:bidi="ar"/>
        </w:rPr>
      </w:pPr>
      <w:r>
        <w:rPr>
          <w:rFonts w:ascii="Times New Roman" w:hAnsi="Times New Roman" w:eastAsia="仿宋_GB2312"/>
          <w:color w:val="auto"/>
          <w:sz w:val="32"/>
          <w:highlight w:val="none"/>
        </w:rPr>
        <w:br w:type="page"/>
      </w:r>
      <w:r>
        <w:rPr>
          <w:rFonts w:ascii="Times New Roman" w:hAnsi="Times New Roman" w:eastAsia="黑体"/>
          <w:color w:val="auto"/>
          <w:sz w:val="32"/>
          <w:highlight w:val="none"/>
          <w:lang w:bidi="ar"/>
        </w:rPr>
        <w:t>附件：</w:t>
      </w:r>
    </w:p>
    <w:p>
      <w:pPr>
        <w:pStyle w:val="3"/>
        <w:keepNext w:val="0"/>
        <w:keepLines w:val="0"/>
        <w:pageBreakBefore w:val="0"/>
        <w:widowControl/>
        <w:shd w:val="clear" w:color="auto" w:fill="FFFFFF"/>
        <w:kinsoku/>
        <w:wordWrap w:val="0"/>
        <w:overflowPunct/>
        <w:topLinePunct w:val="0"/>
        <w:autoSpaceDE/>
        <w:autoSpaceDN/>
        <w:bidi w:val="0"/>
        <w:spacing w:before="0" w:beforeAutospacing="0" w:after="0" w:afterAutospacing="0" w:line="560" w:lineRule="exact"/>
        <w:textAlignment w:val="auto"/>
        <w:rPr>
          <w:rFonts w:ascii="Times New Roman" w:hAnsi="Times New Roman" w:eastAsia="黑体"/>
          <w:color w:val="auto"/>
          <w:sz w:val="32"/>
          <w:highlight w:val="none"/>
          <w:lang w:bidi="ar"/>
        </w:rPr>
      </w:pP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jc w:val="center"/>
        <w:textAlignment w:val="auto"/>
        <w:rPr>
          <w:rFonts w:ascii="Times New Roman" w:hAnsi="Times New Roman" w:eastAsia="方正小标宋简体" w:cs="Times New Roman"/>
          <w:color w:val="auto"/>
          <w:kern w:val="0"/>
          <w:sz w:val="44"/>
          <w:szCs w:val="44"/>
          <w:highlight w:val="none"/>
        </w:rPr>
      </w:pPr>
      <w:r>
        <w:rPr>
          <w:rFonts w:ascii="Times New Roman" w:hAnsi="Times New Roman" w:eastAsia="方正小标宋简体" w:cs="Times New Roman"/>
          <w:color w:val="auto"/>
          <w:kern w:val="0"/>
          <w:sz w:val="44"/>
          <w:szCs w:val="44"/>
          <w:highlight w:val="none"/>
        </w:rPr>
        <w:t>市国资委关于规范监管企业评估机构</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jc w:val="center"/>
        <w:textAlignment w:val="auto"/>
        <w:rPr>
          <w:rFonts w:ascii="Times New Roman" w:hAnsi="Times New Roman" w:eastAsia="方正小标宋简体" w:cs="Times New Roman"/>
          <w:color w:val="auto"/>
          <w:kern w:val="0"/>
          <w:sz w:val="44"/>
          <w:szCs w:val="44"/>
          <w:highlight w:val="none"/>
        </w:rPr>
      </w:pPr>
      <w:r>
        <w:rPr>
          <w:rFonts w:ascii="Times New Roman" w:hAnsi="Times New Roman" w:eastAsia="方正小标宋简体" w:cs="Times New Roman"/>
          <w:color w:val="auto"/>
          <w:kern w:val="0"/>
          <w:sz w:val="44"/>
          <w:szCs w:val="44"/>
          <w:highlight w:val="none"/>
        </w:rPr>
        <w:t>选聘及评价管理有关事项的通知</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jc w:val="center"/>
        <w:textAlignment w:val="auto"/>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（征求意见稿）</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556"/>
        <w:jc w:val="both"/>
        <w:textAlignment w:val="auto"/>
        <w:rPr>
          <w:rFonts w:ascii="Times New Roman" w:hAnsi="Times New Roman" w:eastAsia="仿宋_GB2312" w:cs="Times New Roman"/>
          <w:color w:val="auto"/>
          <w:kern w:val="0"/>
          <w:sz w:val="22"/>
          <w:szCs w:val="20"/>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60" w:lineRule="exact"/>
        <w:ind w:right="0" w:rightChars="0"/>
        <w:jc w:val="both"/>
        <w:textAlignment w:val="auto"/>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各监管企业，各区国资委：</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为进一步规范监管企业选聘评估机构行为，做好对受聘机构评价管理，促进评估机构独立、客观、公正执业，维护国有资产出资人合法权益，根据《企业国有资产评估管理暂行办法》（国资委令第12号）、《国务院国资委关于规范中央企业选聘评估机构工作的指导意见》（国资发产权〔2011〕68号）、《国务院国资委关于加强中央企业评估机构备选库管理有关事项的通知》（国资发产权〔2016〕42号）、《国务院国资委关于优化中央企业资产评估管理有关事项的通知》（国资发产权规〔2024〕8号）、《天津市国资委监管企业国有资产评估管理办法》（津国资〔2018〕5号）等有关规定，结合我市实际情况，现将有关事项通知如下：</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一、监管企业应当依据国家和我市有关法律法规的要求，结合本企业具体情况，制定评估机构选聘管理制度，完善评估机构选聘工作程序，明确评估机构选聘的具体条件。</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二、监管企业选聘的评估机构应当具备以下基本条件：</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（一）遵守国家有关</w:t>
      </w:r>
      <w:r>
        <w:rPr>
          <w:rFonts w:hint="default" w:ascii="Times New Roman" w:hAnsi="Times New Roman" w:eastAsia="仿宋_GB2312" w:cs="Times New Roman"/>
          <w:color w:val="auto"/>
          <w:kern w:val="0"/>
          <w:sz w:val="32"/>
          <w:szCs w:val="32"/>
          <w:highlight w:val="none"/>
          <w:lang w:eastAsia="zh-CN"/>
        </w:rPr>
        <w:t>法律法规</w:t>
      </w:r>
      <w:r>
        <w:rPr>
          <w:rFonts w:hint="default" w:ascii="Times New Roman" w:hAnsi="Times New Roman" w:eastAsia="仿宋_GB2312" w:cs="Times New Roman"/>
          <w:color w:val="auto"/>
          <w:kern w:val="0"/>
          <w:sz w:val="32"/>
          <w:szCs w:val="32"/>
          <w:highlight w:val="none"/>
        </w:rPr>
        <w:t>、规章以及企业国有资产评估的政策规定，严格履行法定职责，近3年内没有违法、违规执业记录。</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（二）掌握企业所在行业的经济行为特点和相关市场信息，熟悉与企业及其所在行业相关的法规、政策，具有与企业评估需求相适应的资质条件、专业人员和专业特长。</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（三）评估机构具备健全、完善的内部质量控制系统。近3年在监管企业对评估机构执业质量评价中无不良记录。</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（四）评估机构、评估师无应当回避的情形。</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监管企业应当按照“公开、公平、公正”的原则，根据自身及其各级子企业规模、区域分布、资产评估业务特点等，结合评估机构的资质条件、人员规模、执业质量、执业信誉、技术特长、区域分布等因素，选择适应本企业评估业务需求的评估机构，建立评估机构备选库。入库评估机构数量应当与本企业评估项目数量、规模和经济行为类型相匹配。</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w:t>
      </w:r>
      <w:r>
        <w:rPr>
          <w:rFonts w:hint="eastAsia" w:ascii="Times New Roman" w:hAnsi="Times New Roman" w:eastAsia="仿宋_GB2312" w:cs="Times New Roman"/>
          <w:color w:val="auto"/>
          <w:kern w:val="0"/>
          <w:sz w:val="32"/>
          <w:szCs w:val="32"/>
          <w:highlight w:val="none"/>
          <w:lang w:eastAsia="zh-CN"/>
        </w:rPr>
        <w:t>监管企业要进一步规范</w:t>
      </w:r>
      <w:r>
        <w:rPr>
          <w:rFonts w:hint="default" w:ascii="Times New Roman" w:hAnsi="Times New Roman" w:eastAsia="仿宋_GB2312" w:cs="Times New Roman"/>
          <w:color w:val="auto"/>
          <w:kern w:val="0"/>
          <w:sz w:val="32"/>
          <w:szCs w:val="32"/>
          <w:highlight w:val="none"/>
        </w:rPr>
        <w:t>重大资产评估项目</w:t>
      </w:r>
      <w:r>
        <w:rPr>
          <w:rFonts w:hint="eastAsia" w:ascii="Times New Roman" w:hAnsi="Times New Roman" w:eastAsia="仿宋_GB2312" w:cs="Times New Roman"/>
          <w:color w:val="auto"/>
          <w:kern w:val="0"/>
          <w:sz w:val="32"/>
          <w:szCs w:val="32"/>
          <w:highlight w:val="none"/>
          <w:lang w:eastAsia="zh-CN"/>
        </w:rPr>
        <w:t>选聘工作</w:t>
      </w:r>
      <w:r>
        <w:rPr>
          <w:rFonts w:hint="default" w:ascii="Times New Roman" w:hAnsi="Times New Roman" w:eastAsia="仿宋_GB2312" w:cs="Times New Roman"/>
          <w:color w:val="auto"/>
          <w:kern w:val="0"/>
          <w:sz w:val="32"/>
          <w:szCs w:val="32"/>
          <w:highlight w:val="none"/>
        </w:rPr>
        <w:t>，应当通过</w:t>
      </w:r>
      <w:r>
        <w:rPr>
          <w:rFonts w:hint="eastAsia" w:ascii="Times New Roman" w:hAnsi="Times New Roman" w:eastAsia="仿宋_GB2312" w:cs="Times New Roman"/>
          <w:color w:val="auto"/>
          <w:kern w:val="0"/>
          <w:sz w:val="32"/>
          <w:szCs w:val="32"/>
          <w:highlight w:val="none"/>
          <w:lang w:eastAsia="zh-CN"/>
        </w:rPr>
        <w:t>公开</w:t>
      </w:r>
      <w:r>
        <w:rPr>
          <w:rFonts w:hint="default" w:ascii="Times New Roman" w:hAnsi="Times New Roman" w:eastAsia="仿宋_GB2312" w:cs="Times New Roman"/>
          <w:color w:val="auto"/>
          <w:kern w:val="0"/>
          <w:sz w:val="32"/>
          <w:szCs w:val="32"/>
          <w:highlight w:val="none"/>
        </w:rPr>
        <w:t>招标、</w:t>
      </w:r>
      <w:r>
        <w:rPr>
          <w:rFonts w:hint="eastAsia" w:ascii="Times New Roman" w:hAnsi="Times New Roman" w:eastAsia="仿宋_GB2312" w:cs="Times New Roman"/>
          <w:color w:val="auto"/>
          <w:kern w:val="0"/>
          <w:sz w:val="32"/>
          <w:szCs w:val="32"/>
          <w:highlight w:val="none"/>
          <w:lang w:eastAsia="zh-CN"/>
        </w:rPr>
        <w:t>邀请招标、</w:t>
      </w:r>
      <w:r>
        <w:rPr>
          <w:rFonts w:hint="default" w:ascii="Times New Roman" w:hAnsi="Times New Roman" w:eastAsia="仿宋_GB2312" w:cs="Times New Roman"/>
          <w:color w:val="auto"/>
          <w:kern w:val="0"/>
          <w:sz w:val="32"/>
          <w:szCs w:val="32"/>
          <w:highlight w:val="none"/>
        </w:rPr>
        <w:t>竞争性谈判等方式在本企业评估机构备选库内择优选聘</w:t>
      </w:r>
      <w:r>
        <w:rPr>
          <w:rFonts w:hint="eastAsia" w:ascii="Times New Roman" w:hAnsi="Times New Roman" w:eastAsia="仿宋_GB2312" w:cs="Times New Roman"/>
          <w:color w:val="auto"/>
          <w:kern w:val="0"/>
          <w:sz w:val="32"/>
          <w:szCs w:val="32"/>
          <w:highlight w:val="none"/>
          <w:lang w:eastAsia="zh-CN"/>
        </w:rPr>
        <w:t>评估机构</w:t>
      </w:r>
      <w:r>
        <w:rPr>
          <w:rFonts w:hint="default" w:ascii="Times New Roman" w:hAnsi="Times New Roman" w:eastAsia="仿宋_GB2312" w:cs="Times New Roman"/>
          <w:color w:val="auto"/>
          <w:kern w:val="0"/>
          <w:sz w:val="32"/>
          <w:szCs w:val="32"/>
          <w:highlight w:val="none"/>
        </w:rPr>
        <w:t>。选聘重大资产评估项目评估机构</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应当依据本企业相关制度，制定选聘文件，明确项目信息、评价要素、评分标准等内容，评价要素至少包括评估机构及相关人员的执业资质、项目团队人员组成、评估标的相关行业的执业经验、评估方案、资源配置、质量控制、费用报价等。其中，费用报价的分值权重不高于15%</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费用报价得分=（1-∣选聘基准价-费用报价∣/选聘基准价）×费用报价所占权重分值，选聘基准价为参与选聘的评估机构费用报价的平均值。</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对于其他资产评估项目，</w:t>
      </w:r>
      <w:r>
        <w:rPr>
          <w:rFonts w:hint="default" w:ascii="Times New Roman" w:hAnsi="Times New Roman" w:eastAsia="仿宋_GB2312" w:cs="Times New Roman"/>
          <w:color w:val="auto"/>
          <w:kern w:val="0"/>
          <w:sz w:val="32"/>
          <w:szCs w:val="32"/>
          <w:highlight w:val="none"/>
        </w:rPr>
        <w:t>监管企业</w:t>
      </w:r>
      <w:r>
        <w:rPr>
          <w:rFonts w:hint="eastAsia" w:ascii="Times New Roman" w:hAnsi="Times New Roman" w:eastAsia="仿宋_GB2312" w:cs="Times New Roman"/>
          <w:color w:val="auto"/>
          <w:kern w:val="0"/>
          <w:sz w:val="32"/>
          <w:szCs w:val="32"/>
          <w:highlight w:val="none"/>
          <w:lang w:eastAsia="zh-CN"/>
        </w:rPr>
        <w:t>应当依据相关制度文件</w:t>
      </w:r>
      <w:r>
        <w:rPr>
          <w:rFonts w:hint="default" w:ascii="Times New Roman" w:hAnsi="Times New Roman" w:eastAsia="仿宋_GB2312" w:cs="Times New Roman"/>
          <w:color w:val="auto"/>
          <w:kern w:val="0"/>
          <w:sz w:val="32"/>
          <w:szCs w:val="32"/>
          <w:highlight w:val="none"/>
        </w:rPr>
        <w:t>在本企业评估机构备选库内择优选聘。</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确有原因不能在本监管企业备选库内选聘的，应当依据有关规定公开遴选，并于选聘前向市国资委报告相关情况。</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五</w:t>
      </w:r>
      <w:r>
        <w:rPr>
          <w:rFonts w:hint="default" w:ascii="Times New Roman" w:hAnsi="Times New Roman" w:eastAsia="仿宋_GB2312" w:cs="Times New Roman"/>
          <w:color w:val="auto"/>
          <w:kern w:val="0"/>
          <w:sz w:val="32"/>
          <w:szCs w:val="32"/>
          <w:highlight w:val="none"/>
        </w:rPr>
        <w:t>、监管企业应当建立健全受托评估机构执业评价标准</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客观、公正地做好对受托评估机构执业质量评价工作。监管企业、评估机构委托方、被评估企业、核准或备案管理单位资产评估管理工作人员以及参与项目评审的专家应当对评估机构服务质量、出具资产评估报告书和资产评估说明的质量以及报告书修改情况等方面进行综合评价并签字。在办理资产评估项目核准、备案时，通过“智慧国资”系统，将评价结果一并报送。</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六</w:t>
      </w:r>
      <w:r>
        <w:rPr>
          <w:rFonts w:hint="default" w:ascii="Times New Roman" w:hAnsi="Times New Roman" w:eastAsia="仿宋_GB2312" w:cs="Times New Roman"/>
          <w:color w:val="auto"/>
          <w:kern w:val="0"/>
          <w:sz w:val="32"/>
          <w:szCs w:val="32"/>
          <w:highlight w:val="none"/>
        </w:rPr>
        <w:t>、监管企业要加强对受托评估机构执业质量的后期跟踪评价。企业要关注市场化经济行为实现后，实际成交价与评估值差异情况；对于采用收益法评估结果的，还要关注被评估企业（或资产）实际收益与预测数据差异情况；更要关注受托评估机构受到行政处罚或者行业协会惩戒等情形。对于实际情况与评估数据差异超过</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0%的，可酌情调整受托评估机构执业质量</w:t>
      </w:r>
      <w:r>
        <w:rPr>
          <w:rFonts w:hint="eastAsia" w:ascii="Times New Roman" w:hAnsi="Times New Roman" w:eastAsia="仿宋_GB2312" w:cs="Times New Roman"/>
          <w:color w:val="auto"/>
          <w:kern w:val="0"/>
          <w:sz w:val="32"/>
          <w:szCs w:val="32"/>
          <w:highlight w:val="none"/>
          <w:lang w:eastAsia="zh-CN"/>
        </w:rPr>
        <w:t>评价</w:t>
      </w:r>
      <w:r>
        <w:rPr>
          <w:rFonts w:hint="default" w:ascii="Times New Roman" w:hAnsi="Times New Roman" w:eastAsia="仿宋_GB2312" w:cs="Times New Roman"/>
          <w:color w:val="auto"/>
          <w:kern w:val="0"/>
          <w:sz w:val="32"/>
          <w:szCs w:val="32"/>
          <w:highlight w:val="none"/>
        </w:rPr>
        <w:t>结果；发现受托评估机构出具评估报告被司法部门判定为内容失实、受到行业监管部门处罚、行业协会惩戒的，</w:t>
      </w:r>
      <w:r>
        <w:rPr>
          <w:rFonts w:hint="eastAsia" w:ascii="Times New Roman" w:hAnsi="Times New Roman" w:eastAsia="仿宋_GB2312" w:cs="Times New Roman"/>
          <w:color w:val="auto"/>
          <w:kern w:val="0"/>
          <w:sz w:val="32"/>
          <w:szCs w:val="32"/>
          <w:highlight w:val="none"/>
          <w:lang w:eastAsia="zh-CN"/>
        </w:rPr>
        <w:t>以及经相关部门认定</w:t>
      </w:r>
      <w:r>
        <w:rPr>
          <w:rFonts w:hint="default" w:ascii="Times New Roman" w:hAnsi="Times New Roman" w:eastAsia="仿宋_GB2312" w:cs="Times New Roman"/>
          <w:color w:val="auto"/>
          <w:kern w:val="0"/>
          <w:sz w:val="32"/>
          <w:szCs w:val="32"/>
          <w:highlight w:val="none"/>
        </w:rPr>
        <w:t>评价结果偏离客观价值等重大执业质量问题</w:t>
      </w:r>
      <w:r>
        <w:rPr>
          <w:rFonts w:hint="eastAsia" w:ascii="Times New Roman" w:hAnsi="Times New Roman" w:eastAsia="仿宋_GB2312" w:cs="Times New Roman"/>
          <w:color w:val="auto"/>
          <w:kern w:val="0"/>
          <w:sz w:val="32"/>
          <w:szCs w:val="32"/>
          <w:highlight w:val="none"/>
          <w:lang w:eastAsia="zh-CN"/>
        </w:rPr>
        <w:t>的</w:t>
      </w:r>
      <w:r>
        <w:rPr>
          <w:rFonts w:hint="default" w:ascii="Times New Roman" w:hAnsi="Times New Roman" w:eastAsia="仿宋_GB2312" w:cs="Times New Roman"/>
          <w:color w:val="auto"/>
          <w:kern w:val="0"/>
          <w:sz w:val="32"/>
          <w:szCs w:val="32"/>
          <w:highlight w:val="none"/>
        </w:rPr>
        <w:t>，应当及时调整执业质量的评价结果，必要时调整为0。</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七</w:t>
      </w:r>
      <w:r>
        <w:rPr>
          <w:rFonts w:hint="default" w:ascii="Times New Roman" w:hAnsi="Times New Roman" w:eastAsia="仿宋_GB2312" w:cs="Times New Roman"/>
          <w:color w:val="auto"/>
          <w:kern w:val="0"/>
          <w:sz w:val="32"/>
          <w:szCs w:val="32"/>
          <w:highlight w:val="none"/>
        </w:rPr>
        <w:t>、监管企业要定期将受托评估机构执业质量的评价结果统计汇总，于每年</w:t>
      </w:r>
      <w:r>
        <w:rPr>
          <w:rFonts w:hint="default" w:ascii="Times New Roman" w:hAnsi="Times New Roman" w:eastAsia="仿宋_GB2312" w:cs="Times New Roman"/>
          <w:color w:val="auto"/>
          <w:kern w:val="0"/>
          <w:sz w:val="32"/>
          <w:szCs w:val="32"/>
          <w:highlight w:val="none"/>
          <w:lang w:val="en-US" w:eastAsia="zh-CN"/>
        </w:rPr>
        <w:t>3月底前</w:t>
      </w:r>
      <w:r>
        <w:rPr>
          <w:rFonts w:hint="default" w:ascii="Times New Roman" w:hAnsi="Times New Roman" w:eastAsia="仿宋_GB2312" w:cs="Times New Roman"/>
          <w:color w:val="auto"/>
          <w:kern w:val="0"/>
          <w:sz w:val="32"/>
          <w:szCs w:val="32"/>
          <w:highlight w:val="none"/>
        </w:rPr>
        <w:t>在“智慧国资”系统内公布上一年评估结果、近三年评价结果累计情况和评估机构存在的不良行为，作为后续优化调整评估机构备选库和选聘评估机构的重要参考依据。</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八</w:t>
      </w:r>
      <w:r>
        <w:rPr>
          <w:rFonts w:hint="default" w:ascii="Times New Roman" w:hAnsi="Times New Roman" w:eastAsia="仿宋_GB2312" w:cs="Times New Roman"/>
          <w:color w:val="auto"/>
          <w:kern w:val="0"/>
          <w:sz w:val="32"/>
          <w:szCs w:val="32"/>
          <w:highlight w:val="none"/>
        </w:rPr>
        <w:t>、监管企业应当根据评估机构执业质量评价结果和企业评估业务需要，对评估机构备选库实行动态管理，原则上每两年调整一次。</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九</w:t>
      </w:r>
      <w:r>
        <w:rPr>
          <w:rFonts w:hint="default" w:ascii="Times New Roman" w:hAnsi="Times New Roman" w:eastAsia="仿宋_GB2312" w:cs="Times New Roman"/>
          <w:color w:val="auto"/>
          <w:kern w:val="0"/>
          <w:sz w:val="32"/>
          <w:szCs w:val="32"/>
          <w:highlight w:val="none"/>
        </w:rPr>
        <w:t>、监管企业建立或调整评估机构备选库，应当根据实际需要组织产权管理、财务、审计、法律、纪检监察等相关部门人员参与选聘；必要时可邀请评估协会等相关单位人员参加。</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十、监管企业确定或调整评估机构备选库后，应当在本企业公告备选评估机构名单，并在公告期截止之日起10个工作日内将备选评估机构名单及选聘情况报送市国资委备案</w:t>
      </w:r>
      <w:r>
        <w:rPr>
          <w:rFonts w:hint="eastAsia" w:ascii="Times New Roman" w:hAnsi="Times New Roman" w:eastAsia="仿宋_GB2312" w:cs="Times New Roman"/>
          <w:color w:val="auto"/>
          <w:kern w:val="0"/>
          <w:sz w:val="32"/>
          <w:szCs w:val="32"/>
          <w:highlight w:val="none"/>
          <w:lang w:eastAsia="zh-CN"/>
        </w:rPr>
        <w:t>，市国资委进行公布。</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十</w:t>
      </w:r>
      <w:r>
        <w:rPr>
          <w:rFonts w:hint="eastAsia" w:ascii="Times New Roman" w:hAnsi="Times New Roman" w:eastAsia="仿宋_GB2312"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、监管企业选聘评估机构入库，应当签订书面协议。书面协议需明确评估机构在库期间出现本通知第十</w:t>
      </w:r>
      <w:r>
        <w:rPr>
          <w:rFonts w:hint="eastAsia" w:ascii="Times New Roman" w:hAnsi="Times New Roman" w:eastAsia="仿宋_GB2312" w:cs="Times New Roman"/>
          <w:color w:val="auto"/>
          <w:kern w:val="0"/>
          <w:sz w:val="32"/>
          <w:szCs w:val="32"/>
          <w:highlight w:val="none"/>
          <w:lang w:eastAsia="zh-CN"/>
        </w:rPr>
        <w:t>二</w:t>
      </w:r>
      <w:r>
        <w:rPr>
          <w:rFonts w:hint="default" w:ascii="Times New Roman" w:hAnsi="Times New Roman" w:eastAsia="仿宋_GB2312" w:cs="Times New Roman"/>
          <w:color w:val="auto"/>
          <w:kern w:val="0"/>
          <w:sz w:val="32"/>
          <w:szCs w:val="32"/>
          <w:highlight w:val="none"/>
        </w:rPr>
        <w:t>条</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第十</w:t>
      </w:r>
      <w:r>
        <w:rPr>
          <w:rFonts w:hint="eastAsia" w:ascii="Times New Roman" w:hAnsi="Times New Roman" w:eastAsia="仿宋_GB2312" w:cs="Times New Roman"/>
          <w:color w:val="auto"/>
          <w:kern w:val="0"/>
          <w:sz w:val="32"/>
          <w:szCs w:val="32"/>
          <w:highlight w:val="none"/>
          <w:lang w:eastAsia="zh-CN"/>
        </w:rPr>
        <w:t>三</w:t>
      </w:r>
      <w:r>
        <w:rPr>
          <w:rFonts w:hint="default" w:ascii="Times New Roman" w:hAnsi="Times New Roman" w:eastAsia="仿宋_GB2312" w:cs="Times New Roman"/>
          <w:color w:val="auto"/>
          <w:kern w:val="0"/>
          <w:sz w:val="32"/>
          <w:szCs w:val="32"/>
          <w:highlight w:val="none"/>
        </w:rPr>
        <w:t>条</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第十四条情形的处理方式，并约定评估机构如因违法违规执业等受到行政处罚或者行业协会惩戒，必须在收到处罚决定后5个工作日内主动告知监管企业。</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十</w:t>
      </w:r>
      <w:r>
        <w:rPr>
          <w:rFonts w:hint="eastAsia" w:ascii="Times New Roman" w:hAnsi="Times New Roman" w:eastAsia="仿宋_GB2312" w:cs="Times New Roman"/>
          <w:color w:val="auto"/>
          <w:kern w:val="0"/>
          <w:sz w:val="32"/>
          <w:szCs w:val="32"/>
          <w:highlight w:val="none"/>
          <w:lang w:eastAsia="zh-CN"/>
        </w:rPr>
        <w:t>二</w:t>
      </w:r>
      <w:r>
        <w:rPr>
          <w:rFonts w:hint="default" w:ascii="Times New Roman" w:hAnsi="Times New Roman" w:eastAsia="仿宋_GB2312" w:cs="Times New Roman"/>
          <w:color w:val="auto"/>
          <w:kern w:val="0"/>
          <w:sz w:val="32"/>
          <w:szCs w:val="32"/>
          <w:highlight w:val="none"/>
        </w:rPr>
        <w:t>、评估机构有下列情形之一的，监管企业应当在书面协议中明确评估机构需制订整改措施并限期3个月完成整改，整改不见成效的</w:t>
      </w:r>
      <w:r>
        <w:rPr>
          <w:rFonts w:hint="eastAsia" w:ascii="Times New Roman" w:hAnsi="Times New Roman" w:eastAsia="仿宋_GB2312" w:cs="Times New Roman"/>
          <w:color w:val="auto"/>
          <w:kern w:val="0"/>
          <w:sz w:val="32"/>
          <w:szCs w:val="32"/>
          <w:highlight w:val="none"/>
          <w:lang w:eastAsia="zh-CN"/>
        </w:rPr>
        <w:t>调出评估机构备选库</w:t>
      </w:r>
      <w:r>
        <w:rPr>
          <w:rFonts w:hint="default" w:ascii="Times New Roman" w:hAnsi="Times New Roman" w:eastAsia="仿宋_GB2312" w:cs="Times New Roman"/>
          <w:color w:val="auto"/>
          <w:kern w:val="0"/>
          <w:sz w:val="32"/>
          <w:szCs w:val="32"/>
          <w:highlight w:val="none"/>
        </w:rPr>
        <w:t>，并将相关情况报告市国资委：</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（一）以恶性压价、支付回扣、虚假宣传或者贬损、诋毁其他评估机构等不正当手段招揽业务的；</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（二）未能按照业务约定书要求派出足够数量、相应执业能力的评估师执业的；</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（三）分别接受利益冲突双方的委托，对同一评估对象进行评估的；</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（四）企业资产评估项目接受</w:t>
      </w:r>
      <w:r>
        <w:rPr>
          <w:rFonts w:hint="eastAsia" w:ascii="Times New Roman" w:hAnsi="Times New Roman" w:eastAsia="仿宋_GB2312" w:cs="Times New Roman"/>
          <w:color w:val="auto"/>
          <w:kern w:val="0"/>
          <w:sz w:val="32"/>
          <w:szCs w:val="32"/>
          <w:highlight w:val="none"/>
          <w:lang w:eastAsia="zh-CN"/>
        </w:rPr>
        <w:t>各级</w:t>
      </w:r>
      <w:r>
        <w:rPr>
          <w:rFonts w:hint="default" w:ascii="Times New Roman" w:hAnsi="Times New Roman" w:eastAsia="仿宋_GB2312" w:cs="Times New Roman"/>
          <w:color w:val="auto"/>
          <w:kern w:val="0"/>
          <w:sz w:val="32"/>
          <w:szCs w:val="32"/>
          <w:highlight w:val="none"/>
        </w:rPr>
        <w:t>国资</w:t>
      </w:r>
      <w:r>
        <w:rPr>
          <w:rFonts w:hint="eastAsia" w:ascii="Times New Roman" w:hAnsi="Times New Roman" w:eastAsia="仿宋_GB2312" w:cs="Times New Roman"/>
          <w:color w:val="auto"/>
          <w:kern w:val="0"/>
          <w:sz w:val="32"/>
          <w:szCs w:val="32"/>
          <w:highlight w:val="none"/>
          <w:lang w:eastAsia="zh-CN"/>
        </w:rPr>
        <w:t>监管机构</w:t>
      </w:r>
      <w:r>
        <w:rPr>
          <w:rFonts w:hint="default" w:ascii="Times New Roman" w:hAnsi="Times New Roman" w:eastAsia="仿宋_GB2312" w:cs="Times New Roman"/>
          <w:color w:val="auto"/>
          <w:kern w:val="0"/>
          <w:sz w:val="32"/>
          <w:szCs w:val="32"/>
          <w:highlight w:val="none"/>
        </w:rPr>
        <w:t>监督检查时，不配合相关工作的；</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（五）受理与自身有利害关系业务的；</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（六）受到行业协会警告、限期整改惩戒的。</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十</w:t>
      </w:r>
      <w:r>
        <w:rPr>
          <w:rFonts w:hint="eastAsia" w:ascii="Times New Roman" w:hAnsi="Times New Roman" w:eastAsia="仿宋_GB2312" w:cs="Times New Roman"/>
          <w:color w:val="auto"/>
          <w:kern w:val="0"/>
          <w:sz w:val="32"/>
          <w:szCs w:val="32"/>
          <w:highlight w:val="none"/>
          <w:lang w:eastAsia="zh-CN"/>
        </w:rPr>
        <w:t>三</w:t>
      </w:r>
      <w:r>
        <w:rPr>
          <w:rFonts w:hint="default" w:ascii="Times New Roman" w:hAnsi="Times New Roman" w:eastAsia="仿宋_GB2312" w:cs="Times New Roman"/>
          <w:color w:val="auto"/>
          <w:kern w:val="0"/>
          <w:sz w:val="32"/>
          <w:szCs w:val="32"/>
          <w:highlight w:val="none"/>
        </w:rPr>
        <w:t>、评估机构有下列情形之一的，监管企业应在书面协议中明确</w:t>
      </w:r>
      <w:r>
        <w:rPr>
          <w:rFonts w:hint="eastAsia" w:ascii="Times New Roman" w:hAnsi="Times New Roman" w:eastAsia="仿宋_GB2312" w:cs="Times New Roman"/>
          <w:color w:val="auto"/>
          <w:kern w:val="0"/>
          <w:sz w:val="32"/>
          <w:szCs w:val="32"/>
          <w:highlight w:val="none"/>
          <w:lang w:eastAsia="zh-CN"/>
        </w:rPr>
        <w:t>调出评估机构备选库；</w:t>
      </w:r>
      <w:r>
        <w:rPr>
          <w:rFonts w:hint="default" w:ascii="Times New Roman" w:hAnsi="Times New Roman" w:eastAsia="仿宋_GB2312" w:cs="Times New Roman"/>
          <w:color w:val="auto"/>
          <w:kern w:val="0"/>
          <w:sz w:val="32"/>
          <w:szCs w:val="32"/>
          <w:highlight w:val="none"/>
        </w:rPr>
        <w:t>不再出现下列情形的，</w:t>
      </w:r>
      <w:r>
        <w:rPr>
          <w:rFonts w:hint="eastAsia" w:ascii="Times New Roman" w:hAnsi="Times New Roman" w:eastAsia="仿宋_GB2312" w:cs="Times New Roman"/>
          <w:color w:val="auto"/>
          <w:kern w:val="0"/>
          <w:sz w:val="32"/>
          <w:szCs w:val="32"/>
          <w:highlight w:val="none"/>
          <w:lang w:eastAsia="zh-CN"/>
        </w:rPr>
        <w:t>后续</w:t>
      </w:r>
      <w:r>
        <w:rPr>
          <w:rFonts w:hint="default" w:ascii="Times New Roman" w:hAnsi="Times New Roman" w:eastAsia="仿宋_GB2312" w:cs="Times New Roman"/>
          <w:color w:val="auto"/>
          <w:kern w:val="0"/>
          <w:sz w:val="32"/>
          <w:szCs w:val="32"/>
          <w:highlight w:val="none"/>
        </w:rPr>
        <w:t>调整评估机构备选库时，可重新聘用。监管企业应及时将相关情况报告市国资委，市国资委应将相关情况通报各监管企业：</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（一）履行评估程序严重不到位的；</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（二）出具虚假评估报告或者有重大遗漏评估报告的；</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（三）利用开展业务之便，谋取不正当利益的；</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（四）受到行业协会行业内通报批评惩戒的。</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十</w:t>
      </w:r>
      <w:r>
        <w:rPr>
          <w:rFonts w:hint="eastAsia" w:ascii="Times New Roman" w:hAnsi="Times New Roman" w:eastAsia="仿宋_GB2312" w:cs="Times New Roman"/>
          <w:color w:val="auto"/>
          <w:kern w:val="0"/>
          <w:sz w:val="32"/>
          <w:szCs w:val="32"/>
          <w:highlight w:val="none"/>
          <w:lang w:eastAsia="zh-CN"/>
        </w:rPr>
        <w:t>四</w:t>
      </w:r>
      <w:r>
        <w:rPr>
          <w:rFonts w:hint="default" w:ascii="Times New Roman" w:hAnsi="Times New Roman" w:eastAsia="仿宋_GB2312" w:cs="Times New Roman"/>
          <w:color w:val="auto"/>
          <w:kern w:val="0"/>
          <w:sz w:val="32"/>
          <w:szCs w:val="32"/>
          <w:highlight w:val="none"/>
        </w:rPr>
        <w:t>、评估机构有下列情形之一的，监管企业应当在书面协议中明确</w:t>
      </w:r>
      <w:r>
        <w:rPr>
          <w:rFonts w:hint="eastAsia" w:ascii="Times New Roman" w:hAnsi="Times New Roman" w:eastAsia="仿宋_GB2312" w:cs="Times New Roman"/>
          <w:color w:val="auto"/>
          <w:kern w:val="0"/>
          <w:sz w:val="32"/>
          <w:szCs w:val="32"/>
          <w:highlight w:val="none"/>
          <w:lang w:eastAsia="zh-CN"/>
        </w:rPr>
        <w:t>调出评估机构备选库；</w:t>
      </w:r>
      <w:r>
        <w:rPr>
          <w:rFonts w:hint="default" w:ascii="Times New Roman" w:hAnsi="Times New Roman" w:eastAsia="仿宋_GB2312" w:cs="Times New Roman"/>
          <w:color w:val="auto"/>
          <w:kern w:val="0"/>
          <w:sz w:val="32"/>
          <w:szCs w:val="32"/>
          <w:highlight w:val="none"/>
        </w:rPr>
        <w:t>近三年不再出现下列情形的，可重新聘用。监管企业应当及时将相关情况报告市国资委，市国资委应当将相关情况通报各监管企业和相关行业协会：</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（一）以欺诈、利诱、强迫等不正当手段取得评估业务的；</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（二）与评估项目相关单位串通作弊，出具虚假或具有误导性评估报告的；</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（三）经相关部门依法认定，出具的评估结果严重偏离评估标的客观价值的；</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（四）泄露国家秘密或企业商业秘密的；</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（五）因违法违规执业受到业务主管部门或其他监管部门的处罚，情节严重的；</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（六）受到行业协会公开谴责惩戒的；</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（七）因违法违规执业受到相关部门处罚后，未及时告知监管企业的；</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（八）其他造成国有资产流失的情形。</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十</w:t>
      </w:r>
      <w:r>
        <w:rPr>
          <w:rFonts w:hint="eastAsia" w:ascii="Times New Roman" w:hAnsi="Times New Roman" w:eastAsia="仿宋_GB2312" w:cs="Times New Roman"/>
          <w:color w:val="auto"/>
          <w:kern w:val="0"/>
          <w:sz w:val="32"/>
          <w:szCs w:val="32"/>
          <w:highlight w:val="none"/>
          <w:lang w:eastAsia="zh-CN"/>
        </w:rPr>
        <w:t>五</w:t>
      </w:r>
      <w:r>
        <w:rPr>
          <w:rFonts w:hint="default" w:ascii="Times New Roman" w:hAnsi="Times New Roman" w:eastAsia="仿宋_GB2312" w:cs="Times New Roman"/>
          <w:color w:val="auto"/>
          <w:kern w:val="0"/>
          <w:sz w:val="32"/>
          <w:szCs w:val="32"/>
          <w:highlight w:val="none"/>
        </w:rPr>
        <w:t>、监管企业要按照本通知要求，及时修订相关制度</w:t>
      </w:r>
      <w:r>
        <w:rPr>
          <w:rFonts w:hint="eastAsia" w:ascii="Times New Roman" w:hAnsi="Times New Roman" w:eastAsia="仿宋_GB2312" w:cs="Times New Roman"/>
          <w:color w:val="auto"/>
          <w:kern w:val="0"/>
          <w:sz w:val="32"/>
          <w:szCs w:val="32"/>
          <w:highlight w:val="none"/>
          <w:lang w:eastAsia="zh-CN"/>
        </w:rPr>
        <w:t>并</w:t>
      </w:r>
      <w:r>
        <w:rPr>
          <w:rFonts w:hint="default" w:ascii="Times New Roman" w:hAnsi="Times New Roman" w:eastAsia="仿宋_GB2312" w:cs="Times New Roman"/>
          <w:color w:val="auto"/>
          <w:kern w:val="0"/>
          <w:sz w:val="32"/>
          <w:szCs w:val="32"/>
          <w:highlight w:val="none"/>
        </w:rPr>
        <w:t>报市国资委备案。企业应当严格依据制度要求，规范开展评估机构选聘及评价管理工作，市国资委定期对相关工作进行抽查和监督。</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十</w:t>
      </w:r>
      <w:r>
        <w:rPr>
          <w:rFonts w:hint="eastAsia" w:ascii="Times New Roman" w:hAnsi="Times New Roman" w:eastAsia="仿宋_GB2312" w:cs="Times New Roman"/>
          <w:color w:val="auto"/>
          <w:kern w:val="0"/>
          <w:sz w:val="32"/>
          <w:szCs w:val="32"/>
          <w:highlight w:val="none"/>
          <w:lang w:val="en-US" w:eastAsia="zh-CN" w:bidi="ar-SA"/>
        </w:rPr>
        <w:t>六</w:t>
      </w:r>
      <w:r>
        <w:rPr>
          <w:rFonts w:hint="default" w:ascii="Times New Roman" w:hAnsi="Times New Roman" w:eastAsia="仿宋_GB2312" w:cs="Times New Roman"/>
          <w:color w:val="auto"/>
          <w:kern w:val="0"/>
          <w:sz w:val="32"/>
          <w:szCs w:val="32"/>
          <w:highlight w:val="none"/>
          <w:lang w:val="en-US" w:eastAsia="zh-CN" w:bidi="ar-SA"/>
        </w:rPr>
        <w:t>、各区国资委可以参照本通知，根据本区国有产权管理实际情况，进一步规范评估机构选聘及评价管理工作。</w:t>
      </w: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十</w:t>
      </w:r>
      <w:r>
        <w:rPr>
          <w:rFonts w:hint="eastAsia" w:ascii="Times New Roman" w:hAnsi="Times New Roman" w:eastAsia="仿宋_GB2312" w:cs="Times New Roman"/>
          <w:color w:val="auto"/>
          <w:kern w:val="0"/>
          <w:sz w:val="32"/>
          <w:szCs w:val="32"/>
          <w:highlight w:val="none"/>
          <w:lang w:val="en-US" w:eastAsia="zh-CN" w:bidi="ar-SA"/>
        </w:rPr>
        <w:t>七</w:t>
      </w:r>
      <w:r>
        <w:rPr>
          <w:rFonts w:hint="default" w:ascii="Times New Roman" w:hAnsi="Times New Roman" w:eastAsia="仿宋_GB2312" w:cs="Times New Roman"/>
          <w:color w:val="auto"/>
          <w:kern w:val="0"/>
          <w:sz w:val="32"/>
          <w:szCs w:val="32"/>
          <w:highlight w:val="none"/>
          <w:lang w:val="en-US" w:eastAsia="zh-CN" w:bidi="ar-SA"/>
        </w:rPr>
        <w:t>、本通知自印发之日起执行。《市国资委关于规范市管企业聘评估机构工作的指导意见》（津国资产权〔2014〕104号）、</w:t>
      </w:r>
      <w:bookmarkStart w:id="0" w:name="_Toc2127"/>
      <w:bookmarkStart w:id="1" w:name="_Toc27105"/>
      <w:bookmarkStart w:id="2" w:name="_Toc10631"/>
      <w:bookmarkStart w:id="3" w:name="_Toc3223"/>
      <w:r>
        <w:rPr>
          <w:rFonts w:hint="default" w:ascii="Times New Roman" w:hAnsi="Times New Roman" w:eastAsia="仿宋_GB2312" w:cs="Times New Roman"/>
          <w:color w:val="auto"/>
          <w:kern w:val="0"/>
          <w:sz w:val="32"/>
          <w:szCs w:val="32"/>
          <w:highlight w:val="none"/>
          <w:lang w:val="en-US" w:eastAsia="zh-CN" w:bidi="ar-SA"/>
        </w:rPr>
        <w:t>《市国资委关于加强市管企业评估机构</w:t>
      </w:r>
      <w:bookmarkEnd w:id="0"/>
      <w:bookmarkEnd w:id="1"/>
      <w:bookmarkEnd w:id="2"/>
      <w:r>
        <w:rPr>
          <w:rFonts w:hint="default" w:ascii="Times New Roman" w:hAnsi="Times New Roman" w:eastAsia="仿宋_GB2312" w:cs="Times New Roman"/>
          <w:color w:val="auto"/>
          <w:kern w:val="0"/>
          <w:sz w:val="32"/>
          <w:szCs w:val="32"/>
          <w:highlight w:val="none"/>
          <w:lang w:val="en-US" w:eastAsia="zh-CN" w:bidi="ar-SA"/>
        </w:rPr>
        <w:t>备选库管理有关事项的通知</w:t>
      </w:r>
      <w:bookmarkEnd w:id="3"/>
      <w:r>
        <w:rPr>
          <w:rFonts w:hint="default" w:ascii="Times New Roman" w:hAnsi="Times New Roman" w:eastAsia="仿宋_GB2312" w:cs="Times New Roman"/>
          <w:color w:val="auto"/>
          <w:kern w:val="0"/>
          <w:sz w:val="32"/>
          <w:szCs w:val="32"/>
          <w:highlight w:val="none"/>
          <w:lang w:val="en-US" w:eastAsia="zh-CN" w:bidi="ar-SA"/>
        </w:rPr>
        <w:t>》</w:t>
      </w:r>
      <w:bookmarkStart w:id="4" w:name="_Toc6409"/>
      <w:bookmarkStart w:id="5" w:name="_Toc22391"/>
      <w:r>
        <w:rPr>
          <w:rFonts w:hint="default" w:ascii="Times New Roman" w:hAnsi="Times New Roman" w:eastAsia="仿宋_GB2312" w:cs="Times New Roman"/>
          <w:color w:val="auto"/>
          <w:kern w:val="0"/>
          <w:sz w:val="32"/>
          <w:szCs w:val="32"/>
          <w:highlight w:val="none"/>
          <w:lang w:val="en-US" w:eastAsia="zh-CN" w:bidi="ar-SA"/>
        </w:rPr>
        <w:t>（津国资产权〔2016〕20号</w:t>
      </w:r>
      <w:bookmarkEnd w:id="4"/>
      <w:bookmarkEnd w:id="5"/>
      <w:r>
        <w:rPr>
          <w:rFonts w:hint="default" w:ascii="Times New Roman" w:hAnsi="Times New Roman" w:eastAsia="仿宋_GB2312" w:cs="Times New Roman"/>
          <w:color w:val="auto"/>
          <w:kern w:val="0"/>
          <w:sz w:val="32"/>
          <w:szCs w:val="32"/>
          <w:highlight w:val="none"/>
          <w:lang w:val="en-US" w:eastAsia="zh-CN" w:bidi="ar-SA"/>
        </w:rPr>
        <w:t>）同时废止。</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附件1：评估机构执业质量评价表（股东权益评估项目）</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附件2：评估机构执业质量评价表（部分资产评估项目）</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jc w:val="both"/>
        <w:textAlignment w:val="auto"/>
        <w:rPr>
          <w:rFonts w:hint="default" w:ascii="Times New Roman" w:hAnsi="Times New Roman" w:eastAsia="方正小标宋简体" w:cs="Times New Roman"/>
          <w:color w:val="auto"/>
          <w:kern w:val="0"/>
          <w:sz w:val="36"/>
          <w:szCs w:val="36"/>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jc w:val="both"/>
        <w:textAlignment w:val="auto"/>
        <w:rPr>
          <w:rFonts w:hint="default" w:ascii="Times New Roman" w:hAnsi="Times New Roman" w:eastAsia="方正小标宋简体" w:cs="Times New Roman"/>
          <w:color w:val="auto"/>
          <w:kern w:val="0"/>
          <w:sz w:val="36"/>
          <w:szCs w:val="36"/>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jc w:val="both"/>
        <w:textAlignment w:val="auto"/>
        <w:rPr>
          <w:rFonts w:hint="default" w:ascii="Times New Roman" w:hAnsi="Times New Roman" w:eastAsia="方正小标宋简体" w:cs="Times New Roman"/>
          <w:color w:val="auto"/>
          <w:kern w:val="0"/>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after="0" w:line="560" w:lineRule="exact"/>
        <w:ind w:right="0" w:rightChars="0" w:firstLine="5120" w:firstLineChars="1600"/>
        <w:jc w:val="both"/>
        <w:textAlignment w:val="auto"/>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二〇二四年 月 日</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jc w:val="left"/>
        <w:textAlignment w:val="auto"/>
        <w:rPr>
          <w:rFonts w:hint="eastAsia" w:ascii="黑体" w:hAnsi="黑体" w:eastAsia="黑体" w:cs="黑体"/>
          <w:color w:val="auto"/>
          <w:kern w:val="0"/>
          <w:sz w:val="32"/>
          <w:szCs w:val="32"/>
          <w:highlight w:val="none"/>
          <w:lang w:eastAsia="zh-CN"/>
        </w:rPr>
      </w:pPr>
      <w:r>
        <w:rPr>
          <w:rFonts w:ascii="Tahoma" w:hAnsi="Tahoma" w:eastAsia="微软雅黑" w:cs="宋体"/>
          <w:color w:val="auto"/>
          <w:kern w:val="0"/>
          <w:sz w:val="22"/>
          <w:highlight w:val="none"/>
        </w:rPr>
        <w:br w:type="page"/>
      </w: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1</w:t>
      </w:r>
    </w:p>
    <w:tbl>
      <w:tblPr>
        <w:tblStyle w:val="4"/>
        <w:tblpPr w:leftFromText="180" w:rightFromText="180" w:vertAnchor="page" w:horzAnchor="page" w:tblpX="1980" w:tblpY="2769"/>
        <w:tblOverlap w:val="never"/>
        <w:tblW w:w="9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38"/>
        <w:gridCol w:w="1811"/>
        <w:gridCol w:w="2464"/>
        <w:gridCol w:w="251"/>
        <w:gridCol w:w="1474"/>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9164" w:type="dxa"/>
            <w:gridSpan w:val="7"/>
            <w:noWrap/>
            <w:vAlign w:val="center"/>
          </w:tcPr>
          <w:p>
            <w:pPr>
              <w:widowControl/>
              <w:adjustRightInd w:val="0"/>
              <w:snapToGrid w:val="0"/>
              <w:spacing w:after="0"/>
              <w:jc w:val="center"/>
              <w:rPr>
                <w:rFonts w:hint="eastAsia" w:ascii="Times New Roman" w:hAnsi="Times New Roman" w:eastAsia="黑体" w:cs="Times New Roman"/>
                <w:color w:val="auto"/>
                <w:kern w:val="0"/>
                <w:sz w:val="32"/>
                <w:szCs w:val="32"/>
                <w:highlight w:val="none"/>
                <w:lang w:eastAsia="zh-CN"/>
              </w:rPr>
            </w:pPr>
            <w:r>
              <w:rPr>
                <w:rFonts w:ascii="Times New Roman" w:hAnsi="Times New Roman" w:eastAsia="黑体" w:cs="Times New Roman"/>
                <w:color w:val="auto"/>
                <w:kern w:val="0"/>
                <w:sz w:val="32"/>
                <w:szCs w:val="32"/>
                <w:highlight w:val="none"/>
              </w:rPr>
              <w:t>评估项目基本情况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264" w:type="dxa"/>
            <w:gridSpan w:val="2"/>
            <w:noWrap/>
            <w:vAlign w:val="center"/>
          </w:tcPr>
          <w:p>
            <w:pPr>
              <w:widowControl/>
              <w:adjustRightInd w:val="0"/>
              <w:snapToGrid w:val="0"/>
              <w:spacing w:after="0"/>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项目名称</w:t>
            </w:r>
          </w:p>
        </w:tc>
        <w:tc>
          <w:tcPr>
            <w:tcW w:w="6900" w:type="dxa"/>
            <w:gridSpan w:val="5"/>
            <w:noWrap/>
            <w:vAlign w:val="center"/>
          </w:tcPr>
          <w:p>
            <w:pPr>
              <w:widowControl/>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2264" w:type="dxa"/>
            <w:gridSpan w:val="2"/>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经济行为类型</w:t>
            </w:r>
          </w:p>
        </w:tc>
        <w:tc>
          <w:tcPr>
            <w:tcW w:w="1811" w:type="dxa"/>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p>
        </w:tc>
        <w:tc>
          <w:tcPr>
            <w:tcW w:w="2715" w:type="dxa"/>
            <w:gridSpan w:val="2"/>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评估对象</w:t>
            </w:r>
          </w:p>
        </w:tc>
        <w:tc>
          <w:tcPr>
            <w:tcW w:w="2374" w:type="dxa"/>
            <w:gridSpan w:val="2"/>
            <w:noWrap/>
            <w:vAlign w:val="center"/>
          </w:tcPr>
          <w:p>
            <w:pPr>
              <w:widowControl/>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2264" w:type="dxa"/>
            <w:gridSpan w:val="2"/>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评估机构名称</w:t>
            </w:r>
          </w:p>
        </w:tc>
        <w:tc>
          <w:tcPr>
            <w:tcW w:w="1811" w:type="dxa"/>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p>
        </w:tc>
        <w:tc>
          <w:tcPr>
            <w:tcW w:w="2715" w:type="dxa"/>
            <w:gridSpan w:val="2"/>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评估结论选用的</w:t>
            </w:r>
          </w:p>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评估方法</w:t>
            </w:r>
          </w:p>
        </w:tc>
        <w:tc>
          <w:tcPr>
            <w:tcW w:w="2374" w:type="dxa"/>
            <w:gridSpan w:val="2"/>
            <w:noWrap/>
            <w:vAlign w:val="center"/>
          </w:tcPr>
          <w:p>
            <w:pPr>
              <w:widowControl/>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2264" w:type="dxa"/>
            <w:gridSpan w:val="2"/>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签字评估师1</w:t>
            </w:r>
          </w:p>
        </w:tc>
        <w:tc>
          <w:tcPr>
            <w:tcW w:w="1811" w:type="dxa"/>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p>
        </w:tc>
        <w:tc>
          <w:tcPr>
            <w:tcW w:w="2715" w:type="dxa"/>
            <w:gridSpan w:val="2"/>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签字评估师2</w:t>
            </w:r>
          </w:p>
        </w:tc>
        <w:tc>
          <w:tcPr>
            <w:tcW w:w="2374" w:type="dxa"/>
            <w:gridSpan w:val="2"/>
            <w:noWrap/>
            <w:vAlign w:val="center"/>
          </w:tcPr>
          <w:p>
            <w:pPr>
              <w:widowControl/>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2264" w:type="dxa"/>
            <w:gridSpan w:val="2"/>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总资产账面值（万元）</w:t>
            </w:r>
          </w:p>
        </w:tc>
        <w:tc>
          <w:tcPr>
            <w:tcW w:w="1811" w:type="dxa"/>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p>
        </w:tc>
        <w:tc>
          <w:tcPr>
            <w:tcW w:w="2715" w:type="dxa"/>
            <w:gridSpan w:val="2"/>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净资产账面值</w:t>
            </w:r>
          </w:p>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（万元）</w:t>
            </w:r>
          </w:p>
        </w:tc>
        <w:tc>
          <w:tcPr>
            <w:tcW w:w="2374" w:type="dxa"/>
            <w:gridSpan w:val="2"/>
            <w:noWrap/>
            <w:vAlign w:val="center"/>
          </w:tcPr>
          <w:p>
            <w:pPr>
              <w:widowControl/>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2264" w:type="dxa"/>
            <w:gridSpan w:val="2"/>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净资产评估值（万元）</w:t>
            </w:r>
          </w:p>
        </w:tc>
        <w:tc>
          <w:tcPr>
            <w:tcW w:w="1811" w:type="dxa"/>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4"/>
                <w:highlight w:val="none"/>
              </w:rPr>
            </w:pPr>
          </w:p>
        </w:tc>
        <w:tc>
          <w:tcPr>
            <w:tcW w:w="2715" w:type="dxa"/>
            <w:gridSpan w:val="2"/>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净资产评估增值率</w:t>
            </w:r>
          </w:p>
        </w:tc>
        <w:tc>
          <w:tcPr>
            <w:tcW w:w="2374" w:type="dxa"/>
            <w:gridSpan w:val="2"/>
            <w:noWrap/>
            <w:vAlign w:val="center"/>
          </w:tcPr>
          <w:p>
            <w:pPr>
              <w:widowControl/>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2264" w:type="dxa"/>
            <w:gridSpan w:val="2"/>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hint="eastAsia" w:ascii="Times New Roman" w:hAnsi="Times New Roman" w:eastAsia="仿宋" w:cs="Times New Roman"/>
                <w:color w:val="auto"/>
                <w:kern w:val="0"/>
                <w:sz w:val="28"/>
                <w:szCs w:val="28"/>
                <w:highlight w:val="none"/>
                <w:lang w:eastAsia="zh-CN"/>
              </w:rPr>
              <w:t>出具企业独立评估说明的数量</w:t>
            </w:r>
          </w:p>
        </w:tc>
        <w:tc>
          <w:tcPr>
            <w:tcW w:w="6900" w:type="dxa"/>
            <w:gridSpan w:val="5"/>
            <w:noWrap/>
            <w:vAlign w:val="center"/>
          </w:tcPr>
          <w:p>
            <w:pPr>
              <w:widowControl/>
              <w:adjustRightInd w:val="0"/>
              <w:snapToGrid w:val="0"/>
              <w:spacing w:after="0"/>
              <w:jc w:val="center"/>
              <w:rPr>
                <w:rFonts w:hint="default"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kern w:val="0"/>
                <w:sz w:val="28"/>
                <w:szCs w:val="28"/>
                <w:highlight w:val="none"/>
              </w:rPr>
              <w:sym w:font="Wingdings 2" w:char="00A3"/>
            </w:r>
            <w:r>
              <w:rPr>
                <w:rFonts w:hint="eastAsia" w:ascii="Times New Roman" w:hAnsi="Times New Roman" w:eastAsia="仿宋" w:cs="Times New Roman"/>
                <w:color w:val="auto"/>
                <w:kern w:val="0"/>
                <w:sz w:val="28"/>
                <w:szCs w:val="28"/>
                <w:highlight w:val="none"/>
                <w:lang w:val="en-US" w:eastAsia="zh-CN"/>
              </w:rPr>
              <w:t xml:space="preserve">10家以下   </w:t>
            </w:r>
            <w:r>
              <w:rPr>
                <w:rFonts w:hint="eastAsia" w:ascii="Times New Roman" w:hAnsi="Times New Roman" w:eastAsia="仿宋" w:cs="Times New Roman"/>
                <w:color w:val="auto"/>
                <w:kern w:val="0"/>
                <w:sz w:val="28"/>
                <w:szCs w:val="28"/>
                <w:highlight w:val="none"/>
              </w:rPr>
              <w:sym w:font="Wingdings 2" w:char="00A3"/>
            </w:r>
            <w:r>
              <w:rPr>
                <w:rFonts w:hint="eastAsia" w:ascii="Times New Roman" w:hAnsi="Times New Roman" w:eastAsia="仿宋" w:cs="Times New Roman"/>
                <w:color w:val="auto"/>
                <w:kern w:val="0"/>
                <w:sz w:val="28"/>
                <w:szCs w:val="28"/>
                <w:highlight w:val="none"/>
                <w:lang w:val="en-US" w:eastAsia="zh-CN"/>
              </w:rPr>
              <w:t xml:space="preserve">10-100家  </w:t>
            </w:r>
            <w:r>
              <w:rPr>
                <w:rFonts w:hint="eastAsia" w:ascii="Times New Roman" w:hAnsi="Times New Roman" w:eastAsia="仿宋" w:cs="Times New Roman"/>
                <w:color w:val="auto"/>
                <w:kern w:val="0"/>
                <w:sz w:val="28"/>
                <w:szCs w:val="28"/>
                <w:highlight w:val="none"/>
              </w:rPr>
              <w:sym w:font="Wingdings 2" w:char="00A3"/>
            </w:r>
            <w:r>
              <w:rPr>
                <w:rFonts w:hint="eastAsia" w:ascii="Times New Roman" w:hAnsi="Times New Roman" w:eastAsia="仿宋" w:cs="Times New Roman"/>
                <w:color w:val="auto"/>
                <w:kern w:val="0"/>
                <w:sz w:val="28"/>
                <w:szCs w:val="28"/>
                <w:highlight w:val="none"/>
                <w:lang w:val="en-US" w:eastAsia="zh-CN"/>
              </w:rPr>
              <w:t>100家及以上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9164" w:type="dxa"/>
            <w:gridSpan w:val="7"/>
            <w:noWrap/>
            <w:vAlign w:val="center"/>
          </w:tcPr>
          <w:p>
            <w:pPr>
              <w:widowControl/>
              <w:adjustRightInd w:val="0"/>
              <w:snapToGrid w:val="0"/>
              <w:spacing w:after="0"/>
              <w:jc w:val="center"/>
              <w:rPr>
                <w:rFonts w:ascii="Times New Roman" w:hAnsi="Times New Roman" w:eastAsia="黑体" w:cs="Times New Roman"/>
                <w:color w:val="auto"/>
                <w:kern w:val="0"/>
                <w:sz w:val="32"/>
                <w:szCs w:val="32"/>
                <w:highlight w:val="none"/>
              </w:rPr>
            </w:pPr>
            <w:r>
              <w:rPr>
                <w:rFonts w:ascii="Times New Roman" w:hAnsi="Times New Roman" w:eastAsia="黑体" w:cs="Times New Roman"/>
                <w:color w:val="auto"/>
                <w:kern w:val="0"/>
                <w:sz w:val="32"/>
                <w:szCs w:val="32"/>
                <w:highlight w:val="none"/>
              </w:rPr>
              <w:t>评估项目质量评价情况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26" w:type="dxa"/>
            <w:noWrap/>
            <w:vAlign w:val="center"/>
          </w:tcPr>
          <w:p>
            <w:pPr>
              <w:widowControl/>
              <w:adjustRightInd w:val="0"/>
              <w:snapToGrid w:val="0"/>
              <w:spacing w:after="0"/>
              <w:jc w:val="center"/>
              <w:rPr>
                <w:rFonts w:ascii="Times New Roman" w:hAnsi="Times New Roman" w:eastAsia="仿宋" w:cs="Times New Roman"/>
                <w:b/>
                <w:bCs/>
                <w:color w:val="auto"/>
                <w:kern w:val="0"/>
                <w:sz w:val="24"/>
                <w:highlight w:val="none"/>
              </w:rPr>
            </w:pPr>
            <w:r>
              <w:rPr>
                <w:rFonts w:ascii="Times New Roman" w:hAnsi="Times New Roman" w:eastAsia="仿宋" w:cs="Times New Roman"/>
                <w:b/>
                <w:bCs/>
                <w:color w:val="auto"/>
                <w:kern w:val="0"/>
                <w:sz w:val="24"/>
                <w:highlight w:val="none"/>
              </w:rPr>
              <w:t>评价主题</w:t>
            </w:r>
          </w:p>
        </w:tc>
        <w:tc>
          <w:tcPr>
            <w:tcW w:w="5713" w:type="dxa"/>
            <w:gridSpan w:val="3"/>
            <w:noWrap/>
            <w:vAlign w:val="center"/>
          </w:tcPr>
          <w:p>
            <w:pPr>
              <w:widowControl/>
              <w:adjustRightInd w:val="0"/>
              <w:snapToGrid w:val="0"/>
              <w:spacing w:after="0"/>
              <w:jc w:val="center"/>
              <w:rPr>
                <w:rFonts w:ascii="Times New Roman" w:hAnsi="Times New Roman" w:eastAsia="仿宋" w:cs="Times New Roman"/>
                <w:b/>
                <w:bCs/>
                <w:color w:val="auto"/>
                <w:kern w:val="0"/>
                <w:sz w:val="24"/>
                <w:highlight w:val="none"/>
              </w:rPr>
            </w:pPr>
            <w:r>
              <w:rPr>
                <w:rFonts w:ascii="Times New Roman" w:hAnsi="Times New Roman" w:eastAsia="仿宋" w:cs="Times New Roman"/>
                <w:b/>
                <w:bCs/>
                <w:color w:val="auto"/>
                <w:kern w:val="0"/>
                <w:sz w:val="24"/>
                <w:highlight w:val="none"/>
              </w:rPr>
              <w:t>评价内容</w:t>
            </w:r>
          </w:p>
        </w:tc>
        <w:tc>
          <w:tcPr>
            <w:tcW w:w="1725" w:type="dxa"/>
            <w:gridSpan w:val="2"/>
            <w:noWrap/>
            <w:vAlign w:val="center"/>
          </w:tcPr>
          <w:p>
            <w:pPr>
              <w:widowControl/>
              <w:adjustRightInd w:val="0"/>
              <w:snapToGrid w:val="0"/>
              <w:spacing w:after="0"/>
              <w:jc w:val="center"/>
              <w:rPr>
                <w:rFonts w:ascii="Times New Roman" w:hAnsi="Times New Roman" w:eastAsia="仿宋" w:cs="Times New Roman"/>
                <w:b/>
                <w:bCs/>
                <w:color w:val="auto"/>
                <w:kern w:val="0"/>
                <w:sz w:val="24"/>
                <w:highlight w:val="none"/>
              </w:rPr>
            </w:pPr>
            <w:r>
              <w:rPr>
                <w:rFonts w:ascii="Times New Roman" w:hAnsi="Times New Roman" w:eastAsia="仿宋" w:cs="Times New Roman"/>
                <w:b/>
                <w:bCs/>
                <w:color w:val="auto"/>
                <w:kern w:val="0"/>
                <w:sz w:val="24"/>
                <w:highlight w:val="none"/>
              </w:rPr>
              <w:t>评价标准</w:t>
            </w:r>
          </w:p>
        </w:tc>
        <w:tc>
          <w:tcPr>
            <w:tcW w:w="900" w:type="dxa"/>
            <w:noWrap/>
            <w:vAlign w:val="center"/>
          </w:tcPr>
          <w:p>
            <w:pPr>
              <w:widowControl/>
              <w:adjustRightInd w:val="0"/>
              <w:snapToGrid w:val="0"/>
              <w:spacing w:after="0" w:line="280" w:lineRule="exact"/>
              <w:jc w:val="center"/>
              <w:rPr>
                <w:rFonts w:ascii="Times New Roman" w:hAnsi="Times New Roman" w:eastAsia="仿宋" w:cs="Times New Roman"/>
                <w:b/>
                <w:bCs/>
                <w:color w:val="auto"/>
                <w:kern w:val="0"/>
                <w:sz w:val="24"/>
                <w:highlight w:val="none"/>
              </w:rPr>
            </w:pPr>
            <w:r>
              <w:rPr>
                <w:rFonts w:ascii="Times New Roman" w:hAnsi="Times New Roman" w:eastAsia="仿宋" w:cs="Times New Roman"/>
                <w:b/>
                <w:bCs/>
                <w:color w:val="auto"/>
                <w:kern w:val="0"/>
                <w:sz w:val="24"/>
                <w:highlight w:val="none"/>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26" w:type="dxa"/>
            <w:vMerge w:val="restart"/>
            <w:noWrap/>
            <w:vAlign w:val="center"/>
          </w:tcPr>
          <w:p>
            <w:pPr>
              <w:widowControl/>
              <w:adjustRightInd w:val="0"/>
              <w:snapToGrid w:val="0"/>
              <w:spacing w:after="0"/>
              <w:jc w:val="center"/>
              <w:rPr>
                <w:rFonts w:ascii="Times New Roman" w:hAnsi="Times New Roman" w:eastAsia="黑体" w:cs="Times New Roman"/>
                <w:color w:val="auto"/>
                <w:kern w:val="0"/>
                <w:sz w:val="24"/>
                <w:highlight w:val="none"/>
              </w:rPr>
            </w:pPr>
            <w:r>
              <w:rPr>
                <w:rFonts w:ascii="Times New Roman" w:hAnsi="Times New Roman" w:eastAsia="黑体" w:cs="Times New Roman"/>
                <w:color w:val="auto"/>
                <w:kern w:val="0"/>
                <w:sz w:val="24"/>
                <w:highlight w:val="none"/>
              </w:rPr>
              <w:t>服务质量评价（20分）</w:t>
            </w:r>
          </w:p>
        </w:tc>
        <w:tc>
          <w:tcPr>
            <w:tcW w:w="5713" w:type="dxa"/>
            <w:gridSpan w:val="3"/>
            <w:noWrap/>
            <w:vAlign w:val="center"/>
          </w:tcPr>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项目团队配置情况（2分）</w:t>
            </w:r>
          </w:p>
        </w:tc>
        <w:tc>
          <w:tcPr>
            <w:tcW w:w="1725" w:type="dxa"/>
            <w:gridSpan w:val="2"/>
            <w:noWrap/>
            <w:vAlign w:val="center"/>
          </w:tcPr>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优秀</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2分</w:t>
            </w:r>
          </w:p>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1分</w:t>
            </w:r>
          </w:p>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0分</w:t>
            </w:r>
          </w:p>
        </w:tc>
        <w:tc>
          <w:tcPr>
            <w:tcW w:w="900" w:type="dxa"/>
            <w:noWrap/>
            <w:vAlign w:val="center"/>
          </w:tcPr>
          <w:p>
            <w:pPr>
              <w:widowControl/>
              <w:adjustRightInd w:val="0"/>
              <w:snapToGrid w:val="0"/>
              <w:spacing w:after="0"/>
              <w:jc w:val="left"/>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26" w:type="dxa"/>
            <w:vMerge w:val="continue"/>
            <w:noWrap/>
            <w:vAlign w:val="center"/>
          </w:tcPr>
          <w:p>
            <w:pPr>
              <w:widowControl/>
              <w:adjustRightInd w:val="0"/>
              <w:snapToGrid w:val="0"/>
              <w:spacing w:after="0"/>
              <w:jc w:val="center"/>
              <w:rPr>
                <w:rFonts w:ascii="Times New Roman" w:hAnsi="Times New Roman" w:eastAsia="黑体" w:cs="Times New Roman"/>
                <w:color w:val="auto"/>
                <w:kern w:val="0"/>
                <w:sz w:val="24"/>
                <w:highlight w:val="none"/>
              </w:rPr>
            </w:pPr>
          </w:p>
        </w:tc>
        <w:tc>
          <w:tcPr>
            <w:tcW w:w="5713" w:type="dxa"/>
            <w:gridSpan w:val="3"/>
            <w:noWrap/>
            <w:vAlign w:val="center"/>
          </w:tcPr>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项目团队工作态度、项目负责人沟通协调能力。（3分）</w:t>
            </w:r>
          </w:p>
        </w:tc>
        <w:tc>
          <w:tcPr>
            <w:tcW w:w="1725" w:type="dxa"/>
            <w:gridSpan w:val="2"/>
            <w:noWrap/>
            <w:vAlign w:val="center"/>
          </w:tcPr>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优秀</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3分</w:t>
            </w:r>
          </w:p>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2分</w:t>
            </w:r>
          </w:p>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0分</w:t>
            </w:r>
          </w:p>
        </w:tc>
        <w:tc>
          <w:tcPr>
            <w:tcW w:w="900" w:type="dxa"/>
            <w:noWrap/>
            <w:vAlign w:val="center"/>
          </w:tcPr>
          <w:p>
            <w:pPr>
              <w:widowControl/>
              <w:adjustRightInd w:val="0"/>
              <w:snapToGrid w:val="0"/>
              <w:spacing w:after="0"/>
              <w:jc w:val="left"/>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26" w:type="dxa"/>
            <w:vMerge w:val="continue"/>
            <w:noWrap/>
            <w:vAlign w:val="center"/>
          </w:tcPr>
          <w:p>
            <w:pPr>
              <w:widowControl/>
              <w:adjustRightInd w:val="0"/>
              <w:snapToGrid w:val="0"/>
              <w:spacing w:after="0"/>
              <w:jc w:val="center"/>
              <w:rPr>
                <w:rFonts w:ascii="Times New Roman" w:hAnsi="Times New Roman" w:eastAsia="黑体" w:cs="Times New Roman"/>
                <w:color w:val="auto"/>
                <w:kern w:val="0"/>
                <w:sz w:val="24"/>
                <w:highlight w:val="none"/>
              </w:rPr>
            </w:pPr>
          </w:p>
        </w:tc>
        <w:tc>
          <w:tcPr>
            <w:tcW w:w="5713" w:type="dxa"/>
            <w:gridSpan w:val="3"/>
            <w:noWrap/>
            <w:vAlign w:val="center"/>
          </w:tcPr>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项目方案设计、计划安排情况。（3分）</w:t>
            </w:r>
          </w:p>
        </w:tc>
        <w:tc>
          <w:tcPr>
            <w:tcW w:w="1725" w:type="dxa"/>
            <w:gridSpan w:val="2"/>
            <w:noWrap/>
            <w:vAlign w:val="center"/>
          </w:tcPr>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优秀</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3分</w:t>
            </w:r>
          </w:p>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2分</w:t>
            </w:r>
          </w:p>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0分</w:t>
            </w:r>
          </w:p>
        </w:tc>
        <w:tc>
          <w:tcPr>
            <w:tcW w:w="900" w:type="dxa"/>
            <w:noWrap/>
            <w:vAlign w:val="center"/>
          </w:tcPr>
          <w:p>
            <w:pPr>
              <w:widowControl/>
              <w:adjustRightInd w:val="0"/>
              <w:snapToGrid w:val="0"/>
              <w:spacing w:after="0"/>
              <w:jc w:val="left"/>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26" w:type="dxa"/>
            <w:vMerge w:val="continue"/>
            <w:noWrap/>
            <w:vAlign w:val="center"/>
          </w:tcPr>
          <w:p>
            <w:pPr>
              <w:widowControl/>
              <w:adjustRightInd w:val="0"/>
              <w:snapToGrid w:val="0"/>
              <w:spacing w:after="0"/>
              <w:jc w:val="center"/>
              <w:rPr>
                <w:rFonts w:ascii="Times New Roman" w:hAnsi="Times New Roman" w:eastAsia="黑体" w:cs="Times New Roman"/>
                <w:color w:val="auto"/>
                <w:kern w:val="0"/>
                <w:sz w:val="24"/>
                <w:highlight w:val="none"/>
              </w:rPr>
            </w:pPr>
          </w:p>
        </w:tc>
        <w:tc>
          <w:tcPr>
            <w:tcW w:w="5713" w:type="dxa"/>
            <w:gridSpan w:val="3"/>
            <w:noWrap/>
            <w:vAlign w:val="center"/>
          </w:tcPr>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评估人员对评估对象实施全面的评估核查程序，如各类资产实地调查、函证、查询、访谈等工作的尽责情况。（5分）</w:t>
            </w:r>
          </w:p>
        </w:tc>
        <w:tc>
          <w:tcPr>
            <w:tcW w:w="1725" w:type="dxa"/>
            <w:gridSpan w:val="2"/>
            <w:noWrap/>
            <w:vAlign w:val="center"/>
          </w:tcPr>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优秀</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4</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5分</w:t>
            </w:r>
          </w:p>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3分</w:t>
            </w:r>
          </w:p>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0-1分</w:t>
            </w:r>
          </w:p>
        </w:tc>
        <w:tc>
          <w:tcPr>
            <w:tcW w:w="900" w:type="dxa"/>
            <w:noWrap/>
            <w:vAlign w:val="center"/>
          </w:tcPr>
          <w:p>
            <w:pPr>
              <w:widowControl/>
              <w:adjustRightInd w:val="0"/>
              <w:snapToGrid w:val="0"/>
              <w:spacing w:after="0"/>
              <w:jc w:val="left"/>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26" w:type="dxa"/>
            <w:vMerge w:val="continue"/>
            <w:noWrap/>
            <w:vAlign w:val="top"/>
          </w:tcPr>
          <w:p>
            <w:pPr>
              <w:widowControl/>
              <w:adjustRightInd w:val="0"/>
              <w:snapToGrid w:val="0"/>
              <w:spacing w:after="0"/>
              <w:jc w:val="center"/>
              <w:rPr>
                <w:rFonts w:ascii="Times New Roman" w:hAnsi="Times New Roman" w:eastAsia="黑体" w:cs="Times New Roman"/>
                <w:color w:val="auto"/>
                <w:kern w:val="0"/>
                <w:sz w:val="24"/>
                <w:highlight w:val="none"/>
              </w:rPr>
            </w:pPr>
          </w:p>
        </w:tc>
        <w:tc>
          <w:tcPr>
            <w:tcW w:w="5713" w:type="dxa"/>
            <w:gridSpan w:val="3"/>
            <w:noWrap/>
            <w:vAlign w:val="center"/>
          </w:tcPr>
          <w:p>
            <w:pPr>
              <w:widowControl/>
              <w:adjustRightInd w:val="0"/>
              <w:snapToGrid w:val="0"/>
              <w:spacing w:after="0"/>
              <w:jc w:val="left"/>
              <w:rPr>
                <w:rFonts w:ascii="Times New Roman" w:hAnsi="Times New Roman" w:eastAsia="黑体" w:cs="Times New Roman"/>
                <w:color w:val="auto"/>
                <w:kern w:val="0"/>
                <w:sz w:val="24"/>
                <w:highlight w:val="none"/>
              </w:rPr>
            </w:pPr>
            <w:r>
              <w:rPr>
                <w:rFonts w:ascii="Times New Roman" w:hAnsi="Times New Roman" w:eastAsia="仿宋" w:cs="Times New Roman"/>
                <w:color w:val="auto"/>
                <w:kern w:val="0"/>
                <w:sz w:val="24"/>
                <w:highlight w:val="none"/>
              </w:rPr>
              <w:t>出具评估报告的及时性</w:t>
            </w:r>
            <w:r>
              <w:rPr>
                <w:rFonts w:ascii="Times New Roman" w:hAnsi="Times New Roman" w:eastAsia="黑体" w:cs="Times New Roman"/>
                <w:color w:val="auto"/>
                <w:kern w:val="0"/>
                <w:sz w:val="24"/>
                <w:highlight w:val="none"/>
              </w:rPr>
              <w:t>。</w:t>
            </w:r>
            <w:r>
              <w:rPr>
                <w:rFonts w:ascii="Times New Roman" w:hAnsi="Times New Roman" w:eastAsia="仿宋" w:cs="Times New Roman"/>
                <w:color w:val="auto"/>
                <w:kern w:val="0"/>
                <w:sz w:val="24"/>
                <w:highlight w:val="none"/>
              </w:rPr>
              <w:t>（2分）</w:t>
            </w:r>
          </w:p>
        </w:tc>
        <w:tc>
          <w:tcPr>
            <w:tcW w:w="1725" w:type="dxa"/>
            <w:gridSpan w:val="2"/>
            <w:noWrap/>
            <w:vAlign w:val="center"/>
          </w:tcPr>
          <w:p>
            <w:pPr>
              <w:widowControl/>
              <w:adjustRightInd w:val="0"/>
              <w:snapToGrid w:val="0"/>
              <w:spacing w:after="0" w:line="280" w:lineRule="exact"/>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及时</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2分</w:t>
            </w:r>
          </w:p>
          <w:p>
            <w:pPr>
              <w:widowControl/>
              <w:adjustRightInd w:val="0"/>
              <w:snapToGrid w:val="0"/>
              <w:spacing w:after="0" w:line="280" w:lineRule="exact"/>
              <w:jc w:val="left"/>
              <w:rPr>
                <w:rFonts w:ascii="Times New Roman" w:hAnsi="Times New Roman" w:eastAsia="黑体" w:cs="Times New Roman"/>
                <w:color w:val="auto"/>
                <w:kern w:val="0"/>
                <w:sz w:val="32"/>
                <w:szCs w:val="32"/>
                <w:highlight w:val="none"/>
              </w:rPr>
            </w:pPr>
            <w:r>
              <w:rPr>
                <w:rFonts w:ascii="Times New Roman" w:hAnsi="Times New Roman" w:eastAsia="仿宋" w:cs="Times New Roman"/>
                <w:color w:val="auto"/>
                <w:kern w:val="0"/>
                <w:sz w:val="24"/>
                <w:highlight w:val="none"/>
              </w:rPr>
              <w:t>不及时</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0分</w:t>
            </w:r>
          </w:p>
        </w:tc>
        <w:tc>
          <w:tcPr>
            <w:tcW w:w="900" w:type="dxa"/>
            <w:noWrap/>
            <w:vAlign w:val="center"/>
          </w:tcPr>
          <w:p>
            <w:pPr>
              <w:widowControl/>
              <w:adjustRightInd w:val="0"/>
              <w:snapToGrid w:val="0"/>
              <w:spacing w:after="0"/>
              <w:jc w:val="left"/>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26" w:type="dxa"/>
            <w:vMerge w:val="continue"/>
            <w:noWrap/>
            <w:vAlign w:val="top"/>
          </w:tcPr>
          <w:p>
            <w:pPr>
              <w:widowControl/>
              <w:adjustRightInd w:val="0"/>
              <w:snapToGrid w:val="0"/>
              <w:spacing w:after="0"/>
              <w:jc w:val="center"/>
              <w:rPr>
                <w:rFonts w:ascii="Times New Roman" w:hAnsi="Times New Roman" w:eastAsia="黑体" w:cs="Times New Roman"/>
                <w:color w:val="auto"/>
                <w:kern w:val="0"/>
                <w:sz w:val="24"/>
                <w:highlight w:val="none"/>
              </w:rPr>
            </w:pPr>
          </w:p>
        </w:tc>
        <w:tc>
          <w:tcPr>
            <w:tcW w:w="5713" w:type="dxa"/>
            <w:gridSpan w:val="3"/>
            <w:noWrap/>
            <w:vAlign w:val="center"/>
          </w:tcPr>
          <w:p>
            <w:pPr>
              <w:widowControl/>
              <w:adjustRightInd w:val="0"/>
              <w:snapToGrid w:val="0"/>
              <w:spacing w:after="0"/>
              <w:jc w:val="left"/>
              <w:rPr>
                <w:rFonts w:ascii="Times New Roman" w:hAnsi="Times New Roman" w:eastAsia="黑体" w:cs="Times New Roman"/>
                <w:color w:val="auto"/>
                <w:kern w:val="0"/>
                <w:sz w:val="24"/>
                <w:highlight w:val="none"/>
              </w:rPr>
            </w:pPr>
            <w:r>
              <w:rPr>
                <w:rFonts w:ascii="Times New Roman" w:hAnsi="Times New Roman" w:eastAsia="仿宋" w:cs="Times New Roman"/>
                <w:color w:val="auto"/>
                <w:kern w:val="0"/>
                <w:sz w:val="24"/>
                <w:highlight w:val="none"/>
              </w:rPr>
              <w:t>审核意见答复及时性及质量</w:t>
            </w:r>
            <w:r>
              <w:rPr>
                <w:rFonts w:ascii="Times New Roman" w:hAnsi="Times New Roman" w:eastAsia="黑体" w:cs="Times New Roman"/>
                <w:color w:val="auto"/>
                <w:kern w:val="0"/>
                <w:sz w:val="24"/>
                <w:highlight w:val="none"/>
              </w:rPr>
              <w:t>。</w:t>
            </w:r>
            <w:r>
              <w:rPr>
                <w:rFonts w:ascii="Times New Roman" w:hAnsi="Times New Roman" w:eastAsia="仿宋" w:cs="Times New Roman"/>
                <w:color w:val="auto"/>
                <w:kern w:val="0"/>
                <w:sz w:val="24"/>
                <w:highlight w:val="none"/>
              </w:rPr>
              <w:t>（5分）</w:t>
            </w:r>
          </w:p>
        </w:tc>
        <w:tc>
          <w:tcPr>
            <w:tcW w:w="1725" w:type="dxa"/>
            <w:gridSpan w:val="2"/>
            <w:noWrap/>
            <w:vAlign w:val="center"/>
          </w:tcPr>
          <w:p>
            <w:pPr>
              <w:widowControl/>
              <w:adjustRightInd w:val="0"/>
              <w:snapToGrid w:val="0"/>
              <w:spacing w:after="0" w:line="280" w:lineRule="exact"/>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优秀</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4</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5分</w:t>
            </w:r>
          </w:p>
          <w:p>
            <w:pPr>
              <w:widowControl/>
              <w:adjustRightInd w:val="0"/>
              <w:snapToGrid w:val="0"/>
              <w:spacing w:after="0" w:line="280" w:lineRule="exact"/>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3分</w:t>
            </w:r>
          </w:p>
          <w:p>
            <w:pPr>
              <w:widowControl/>
              <w:adjustRightInd w:val="0"/>
              <w:snapToGrid w:val="0"/>
              <w:spacing w:after="0" w:line="280" w:lineRule="exact"/>
              <w:jc w:val="left"/>
              <w:rPr>
                <w:rFonts w:ascii="Times New Roman" w:hAnsi="Times New Roman" w:eastAsia="黑体" w:cs="Times New Roman"/>
                <w:color w:val="auto"/>
                <w:kern w:val="0"/>
                <w:sz w:val="32"/>
                <w:szCs w:val="32"/>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0-1分</w:t>
            </w:r>
          </w:p>
        </w:tc>
        <w:tc>
          <w:tcPr>
            <w:tcW w:w="900" w:type="dxa"/>
            <w:noWrap/>
            <w:vAlign w:val="center"/>
          </w:tcPr>
          <w:p>
            <w:pPr>
              <w:widowControl/>
              <w:adjustRightInd w:val="0"/>
              <w:snapToGrid w:val="0"/>
              <w:spacing w:after="0"/>
              <w:jc w:val="left"/>
              <w:rPr>
                <w:rFonts w:ascii="Times New Roman" w:hAnsi="Times New Roman" w:eastAsia="黑体" w:cs="Times New Roman"/>
                <w:color w:val="auto"/>
                <w:kern w:val="0"/>
                <w:sz w:val="32"/>
                <w:szCs w:val="32"/>
                <w:highlight w:val="none"/>
              </w:rPr>
            </w:pPr>
          </w:p>
        </w:tc>
      </w:tr>
    </w:tbl>
    <w:p>
      <w:pPr>
        <w:widowControl/>
        <w:adjustRightInd w:val="0"/>
        <w:snapToGrid w:val="0"/>
        <w:spacing w:after="0"/>
        <w:jc w:val="center"/>
        <w:rPr>
          <w:rFonts w:hint="eastAsia" w:ascii="Times New Roman" w:hAnsi="Times New Roman" w:eastAsia="方正小标宋简体" w:cs="Times New Roman"/>
          <w:color w:val="auto"/>
          <w:kern w:val="0"/>
          <w:sz w:val="36"/>
          <w:szCs w:val="36"/>
          <w:highlight w:val="none"/>
          <w:lang w:eastAsia="zh-CN"/>
        </w:rPr>
      </w:pPr>
      <w:r>
        <w:rPr>
          <w:rFonts w:ascii="Times New Roman" w:hAnsi="Times New Roman" w:eastAsia="方正小标宋简体" w:cs="Times New Roman"/>
          <w:color w:val="auto"/>
          <w:kern w:val="0"/>
          <w:sz w:val="44"/>
          <w:szCs w:val="44"/>
          <w:highlight w:val="none"/>
        </w:rPr>
        <w:t>评估机构执业质量评价表</w:t>
      </w:r>
      <w:r>
        <w:rPr>
          <w:rFonts w:hint="eastAsia" w:ascii="Times New Roman" w:hAnsi="Times New Roman" w:eastAsia="方正小标宋简体" w:cs="Times New Roman"/>
          <w:color w:val="auto"/>
          <w:kern w:val="0"/>
          <w:sz w:val="36"/>
          <w:szCs w:val="36"/>
          <w:highlight w:val="none"/>
          <w:lang w:eastAsia="zh-CN"/>
        </w:rPr>
        <w:t>（股东权益评估项目）</w:t>
      </w:r>
    </w:p>
    <w:tbl>
      <w:tblPr>
        <w:tblStyle w:val="4"/>
        <w:tblW w:w="8762"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212"/>
        <w:gridCol w:w="141"/>
        <w:gridCol w:w="2190"/>
        <w:gridCol w:w="1719"/>
        <w:gridCol w:w="471"/>
        <w:gridCol w:w="1417"/>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Merge w:val="restart"/>
            <w:noWrap/>
            <w:vAlign w:val="center"/>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r>
              <w:rPr>
                <w:rFonts w:ascii="Times New Roman" w:hAnsi="Times New Roman" w:eastAsia="黑体" w:cs="Times New Roman"/>
                <w:color w:val="auto"/>
                <w:kern w:val="0"/>
                <w:sz w:val="24"/>
                <w:highlight w:val="none"/>
              </w:rPr>
              <w:t>评估报告质量评价（80分）</w:t>
            </w:r>
          </w:p>
        </w:tc>
        <w:tc>
          <w:tcPr>
            <w:tcW w:w="1212" w:type="dxa"/>
            <w:vMerge w:val="restart"/>
            <w:noWrap/>
            <w:vAlign w:val="center"/>
          </w:tcPr>
          <w:p>
            <w:pPr>
              <w:widowControl w:val="0"/>
              <w:adjustRightInd w:val="0"/>
              <w:snapToGrid w:val="0"/>
              <w:spacing w:after="0"/>
              <w:jc w:val="left"/>
              <w:rPr>
                <w:rFonts w:ascii="Times New Roman" w:hAnsi="Times New Roman" w:eastAsia="仿宋" w:cs="Times New Roman"/>
                <w:color w:val="auto"/>
                <w:kern w:val="0"/>
                <w:sz w:val="28"/>
                <w:szCs w:val="28"/>
                <w:highlight w:val="none"/>
              </w:rPr>
            </w:pPr>
            <w:r>
              <w:rPr>
                <w:rFonts w:ascii="Times New Roman" w:hAnsi="Times New Roman" w:eastAsia="黑体" w:cs="Times New Roman"/>
                <w:color w:val="auto"/>
                <w:kern w:val="0"/>
                <w:sz w:val="24"/>
                <w:highlight w:val="none"/>
              </w:rPr>
              <w:t>评估报告内容的完整性、合理性（22分）</w:t>
            </w:r>
          </w:p>
        </w:tc>
        <w:tc>
          <w:tcPr>
            <w:tcW w:w="4050" w:type="dxa"/>
            <w:gridSpan w:val="3"/>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评估报告、评估说明、评估明细表、利用专业报告是否齐全</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特别是收益法预测表是否完整。（2分）</w:t>
            </w:r>
          </w:p>
        </w:tc>
        <w:tc>
          <w:tcPr>
            <w:tcW w:w="1888"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完整</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2分</w:t>
            </w:r>
          </w:p>
          <w:p>
            <w:pPr>
              <w:widowControl w:val="0"/>
              <w:adjustRightInd w:val="0"/>
              <w:snapToGrid w:val="0"/>
              <w:spacing w:after="0"/>
              <w:jc w:val="left"/>
              <w:rPr>
                <w:rFonts w:ascii="Times New Roman" w:hAnsi="Times New Roman" w:eastAsia="黑体" w:cs="Times New Roman"/>
                <w:color w:val="auto"/>
                <w:kern w:val="0"/>
                <w:sz w:val="32"/>
                <w:szCs w:val="32"/>
                <w:highlight w:val="none"/>
              </w:rPr>
            </w:pPr>
            <w:r>
              <w:rPr>
                <w:rFonts w:ascii="Times New Roman" w:hAnsi="Times New Roman" w:eastAsia="仿宋" w:cs="Times New Roman"/>
                <w:color w:val="auto"/>
                <w:kern w:val="0"/>
                <w:sz w:val="24"/>
                <w:highlight w:val="none"/>
              </w:rPr>
              <w:t>不完整</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0-1分</w:t>
            </w:r>
          </w:p>
        </w:tc>
        <w:tc>
          <w:tcPr>
            <w:tcW w:w="775" w:type="dxa"/>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Merge w:val="continue"/>
            <w:noWrap/>
            <w:vAlign w:val="center"/>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c>
          <w:tcPr>
            <w:tcW w:w="1212" w:type="dxa"/>
            <w:vMerge w:val="continue"/>
            <w:noWrap/>
            <w:vAlign w:val="center"/>
          </w:tcPr>
          <w:p>
            <w:pPr>
              <w:widowControl w:val="0"/>
              <w:adjustRightInd w:val="0"/>
              <w:snapToGrid w:val="0"/>
              <w:spacing w:after="0"/>
              <w:jc w:val="left"/>
              <w:rPr>
                <w:rFonts w:ascii="Times New Roman" w:hAnsi="Times New Roman" w:eastAsia="仿宋" w:cs="Times New Roman"/>
                <w:color w:val="auto"/>
                <w:kern w:val="0"/>
                <w:sz w:val="28"/>
                <w:szCs w:val="28"/>
                <w:highlight w:val="none"/>
              </w:rPr>
            </w:pPr>
          </w:p>
        </w:tc>
        <w:tc>
          <w:tcPr>
            <w:tcW w:w="4050" w:type="dxa"/>
            <w:gridSpan w:val="3"/>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评估报告内容是否包含：声明、摘要、正文、附件等内容，签字盖章是否完整，附件是否完整，包括经济行为决策文件、审计报告、企业营业执照、企业产权登记证、委托方及被评估企业承诺函、相关资产权属证明文件、评估师承诺函、评估机构备案公告、营业执照、评估师资质证明、委托合同等内容。（4分）</w:t>
            </w:r>
          </w:p>
        </w:tc>
        <w:tc>
          <w:tcPr>
            <w:tcW w:w="1888"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完整</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4分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3分</w:t>
            </w:r>
          </w:p>
          <w:p>
            <w:pPr>
              <w:widowControl w:val="0"/>
              <w:adjustRightInd w:val="0"/>
              <w:snapToGrid w:val="0"/>
              <w:spacing w:after="0"/>
              <w:jc w:val="left"/>
              <w:rPr>
                <w:rFonts w:ascii="Times New Roman" w:hAnsi="Times New Roman" w:eastAsia="黑体" w:cs="Times New Roman"/>
                <w:color w:val="auto"/>
                <w:kern w:val="0"/>
                <w:sz w:val="32"/>
                <w:szCs w:val="32"/>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0-1分</w:t>
            </w:r>
          </w:p>
        </w:tc>
        <w:tc>
          <w:tcPr>
            <w:tcW w:w="775" w:type="dxa"/>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Merge w:val="continue"/>
            <w:noWrap/>
            <w:vAlign w:val="center"/>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c>
          <w:tcPr>
            <w:tcW w:w="1212" w:type="dxa"/>
            <w:vMerge w:val="continue"/>
            <w:noWrap/>
            <w:vAlign w:val="top"/>
          </w:tcPr>
          <w:p>
            <w:pPr>
              <w:widowControl w:val="0"/>
              <w:adjustRightInd w:val="0"/>
              <w:snapToGrid w:val="0"/>
              <w:spacing w:after="0"/>
              <w:jc w:val="left"/>
              <w:rPr>
                <w:rFonts w:ascii="Times New Roman" w:hAnsi="Times New Roman" w:eastAsia="仿宋" w:cs="Times New Roman"/>
                <w:color w:val="auto"/>
                <w:kern w:val="0"/>
                <w:sz w:val="28"/>
                <w:szCs w:val="28"/>
                <w:highlight w:val="none"/>
              </w:rPr>
            </w:pPr>
          </w:p>
        </w:tc>
        <w:tc>
          <w:tcPr>
            <w:tcW w:w="4050" w:type="dxa"/>
            <w:gridSpan w:val="3"/>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评估方法的选取是否合理，是否采用两种方法进行评估，如果只采用一种评估方法，理由是否充分合理。（4分）</w:t>
            </w:r>
          </w:p>
        </w:tc>
        <w:tc>
          <w:tcPr>
            <w:tcW w:w="1888"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合理</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4分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理由不充分</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0-2分</w:t>
            </w:r>
          </w:p>
          <w:p>
            <w:pPr>
              <w:widowControl w:val="0"/>
              <w:adjustRightInd w:val="0"/>
              <w:snapToGrid w:val="0"/>
              <w:spacing w:after="0"/>
              <w:jc w:val="left"/>
              <w:rPr>
                <w:rFonts w:ascii="Times New Roman" w:hAnsi="Times New Roman" w:eastAsia="黑体" w:cs="Times New Roman"/>
                <w:color w:val="auto"/>
                <w:kern w:val="0"/>
                <w:sz w:val="32"/>
                <w:szCs w:val="32"/>
                <w:highlight w:val="none"/>
              </w:rPr>
            </w:pPr>
            <w:r>
              <w:rPr>
                <w:rFonts w:ascii="Times New Roman" w:hAnsi="Times New Roman" w:eastAsia="仿宋" w:cs="Times New Roman"/>
                <w:color w:val="auto"/>
                <w:kern w:val="0"/>
                <w:sz w:val="24"/>
                <w:highlight w:val="none"/>
              </w:rPr>
              <w:t>不合理</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0分</w:t>
            </w:r>
          </w:p>
        </w:tc>
        <w:tc>
          <w:tcPr>
            <w:tcW w:w="775" w:type="dxa"/>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Merge w:val="continue"/>
            <w:noWrap/>
            <w:vAlign w:val="center"/>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c>
          <w:tcPr>
            <w:tcW w:w="1212" w:type="dxa"/>
            <w:vMerge w:val="continue"/>
            <w:noWrap/>
            <w:vAlign w:val="top"/>
          </w:tcPr>
          <w:p>
            <w:pPr>
              <w:widowControl w:val="0"/>
              <w:adjustRightInd w:val="0"/>
              <w:snapToGrid w:val="0"/>
              <w:spacing w:after="0"/>
              <w:jc w:val="left"/>
              <w:rPr>
                <w:rFonts w:ascii="Times New Roman" w:hAnsi="Times New Roman" w:eastAsia="仿宋" w:cs="Times New Roman"/>
                <w:color w:val="auto"/>
                <w:kern w:val="0"/>
                <w:sz w:val="28"/>
                <w:szCs w:val="28"/>
                <w:highlight w:val="none"/>
              </w:rPr>
            </w:pPr>
          </w:p>
        </w:tc>
        <w:tc>
          <w:tcPr>
            <w:tcW w:w="4050" w:type="dxa"/>
            <w:gridSpan w:val="3"/>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评估程序是否履行到位，是否存在核查评估范围不够尽责，遗漏企业户数或资产情况，是否存在评估程序受限制情况，如果存在，是否实施了替代程序，对评估结果是否有重大影响。（4分）</w:t>
            </w:r>
          </w:p>
        </w:tc>
        <w:tc>
          <w:tcPr>
            <w:tcW w:w="1888"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优秀</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4分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3分</w:t>
            </w:r>
          </w:p>
          <w:p>
            <w:pPr>
              <w:widowControl w:val="0"/>
              <w:adjustRightInd w:val="0"/>
              <w:snapToGrid w:val="0"/>
              <w:spacing w:after="0"/>
              <w:jc w:val="left"/>
              <w:rPr>
                <w:rFonts w:ascii="Times New Roman" w:hAnsi="Times New Roman" w:eastAsia="黑体" w:cs="Times New Roman"/>
                <w:color w:val="auto"/>
                <w:kern w:val="0"/>
                <w:sz w:val="32"/>
                <w:szCs w:val="32"/>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w:t>
            </w:r>
            <w:r>
              <w:rPr>
                <w:rFonts w:hint="eastAsia" w:ascii="Times New Roman" w:hAnsi="Times New Roman" w:eastAsia="仿宋" w:cs="Times New Roman"/>
                <w:color w:val="auto"/>
                <w:kern w:val="0"/>
                <w:sz w:val="24"/>
                <w:highlight w:val="none"/>
                <w:lang w:val="en-US" w:eastAsia="zh-CN"/>
              </w:rPr>
              <w:t>-</w:t>
            </w:r>
            <w:r>
              <w:rPr>
                <w:rFonts w:ascii="Times New Roman" w:hAnsi="Times New Roman" w:eastAsia="仿宋" w:cs="Times New Roman"/>
                <w:color w:val="auto"/>
                <w:kern w:val="0"/>
                <w:sz w:val="24"/>
                <w:highlight w:val="none"/>
              </w:rPr>
              <w:t>1分</w:t>
            </w:r>
          </w:p>
        </w:tc>
        <w:tc>
          <w:tcPr>
            <w:tcW w:w="775" w:type="dxa"/>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Merge w:val="continue"/>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c>
          <w:tcPr>
            <w:tcW w:w="1212" w:type="dxa"/>
            <w:vMerge w:val="continue"/>
            <w:noWrap/>
            <w:vAlign w:val="top"/>
          </w:tcPr>
          <w:p>
            <w:pPr>
              <w:widowControl w:val="0"/>
              <w:adjustRightInd w:val="0"/>
              <w:snapToGrid w:val="0"/>
              <w:spacing w:after="0"/>
              <w:jc w:val="left"/>
              <w:rPr>
                <w:rFonts w:ascii="Times New Roman" w:hAnsi="Times New Roman" w:eastAsia="仿宋" w:cs="Times New Roman"/>
                <w:color w:val="auto"/>
                <w:kern w:val="0"/>
                <w:sz w:val="28"/>
                <w:szCs w:val="28"/>
                <w:highlight w:val="none"/>
              </w:rPr>
            </w:pPr>
          </w:p>
        </w:tc>
        <w:tc>
          <w:tcPr>
            <w:tcW w:w="4050" w:type="dxa"/>
            <w:gridSpan w:val="3"/>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评估结论的选择是否符合评估对象的特点，是否能公允反映评估对象的价值。（4分）</w:t>
            </w:r>
          </w:p>
        </w:tc>
        <w:tc>
          <w:tcPr>
            <w:tcW w:w="1888"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合理</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4分</w:t>
            </w:r>
          </w:p>
          <w:p>
            <w:pPr>
              <w:widowControl w:val="0"/>
              <w:adjustRightInd w:val="0"/>
              <w:snapToGrid w:val="0"/>
              <w:spacing w:after="0"/>
              <w:jc w:val="left"/>
              <w:rPr>
                <w:rFonts w:ascii="Times New Roman" w:hAnsi="Times New Roman" w:eastAsia="黑体" w:cs="Times New Roman"/>
                <w:color w:val="auto"/>
                <w:kern w:val="0"/>
                <w:sz w:val="32"/>
                <w:szCs w:val="32"/>
                <w:highlight w:val="none"/>
              </w:rPr>
            </w:pPr>
            <w:r>
              <w:rPr>
                <w:rFonts w:ascii="Times New Roman" w:hAnsi="Times New Roman" w:eastAsia="仿宋" w:cs="Times New Roman"/>
                <w:color w:val="auto"/>
                <w:kern w:val="0"/>
                <w:sz w:val="24"/>
                <w:highlight w:val="none"/>
              </w:rPr>
              <w:t>不合理</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0分</w:t>
            </w:r>
          </w:p>
        </w:tc>
        <w:tc>
          <w:tcPr>
            <w:tcW w:w="775" w:type="dxa"/>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Merge w:val="continue"/>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c>
          <w:tcPr>
            <w:tcW w:w="1212" w:type="dxa"/>
            <w:vMerge w:val="continue"/>
            <w:noWrap/>
            <w:vAlign w:val="top"/>
          </w:tcPr>
          <w:p>
            <w:pPr>
              <w:widowControl w:val="0"/>
              <w:adjustRightInd w:val="0"/>
              <w:snapToGrid w:val="0"/>
              <w:spacing w:after="0"/>
              <w:jc w:val="left"/>
              <w:rPr>
                <w:rFonts w:ascii="Times New Roman" w:hAnsi="Times New Roman" w:eastAsia="仿宋" w:cs="Times New Roman"/>
                <w:color w:val="auto"/>
                <w:kern w:val="0"/>
                <w:sz w:val="28"/>
                <w:szCs w:val="28"/>
                <w:highlight w:val="none"/>
              </w:rPr>
            </w:pPr>
          </w:p>
        </w:tc>
        <w:tc>
          <w:tcPr>
            <w:tcW w:w="4050" w:type="dxa"/>
            <w:gridSpan w:val="3"/>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特别事项说明是否准确、完整，是否存在对评估结果有重大影响的特别事项仅披露，不做对评估结果影响的判断。（4分）</w:t>
            </w:r>
          </w:p>
        </w:tc>
        <w:tc>
          <w:tcPr>
            <w:tcW w:w="1888"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优秀</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4分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3分</w:t>
            </w:r>
          </w:p>
          <w:p>
            <w:pPr>
              <w:widowControl w:val="0"/>
              <w:adjustRightInd w:val="0"/>
              <w:snapToGrid w:val="0"/>
              <w:spacing w:after="0"/>
              <w:jc w:val="left"/>
              <w:rPr>
                <w:rFonts w:ascii="Times New Roman" w:hAnsi="Times New Roman" w:eastAsia="黑体" w:cs="Times New Roman"/>
                <w:color w:val="auto"/>
                <w:kern w:val="0"/>
                <w:sz w:val="32"/>
                <w:szCs w:val="32"/>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w:t>
            </w:r>
            <w:r>
              <w:rPr>
                <w:rFonts w:hint="eastAsia" w:ascii="Times New Roman" w:hAnsi="Times New Roman" w:eastAsia="仿宋" w:cs="Times New Roman"/>
                <w:color w:val="auto"/>
                <w:kern w:val="0"/>
                <w:sz w:val="24"/>
                <w:highlight w:val="none"/>
                <w:lang w:val="en-US" w:eastAsia="zh-CN"/>
              </w:rPr>
              <w:t>-</w:t>
            </w:r>
            <w:r>
              <w:rPr>
                <w:rFonts w:ascii="Times New Roman" w:hAnsi="Times New Roman" w:eastAsia="仿宋" w:cs="Times New Roman"/>
                <w:color w:val="auto"/>
                <w:kern w:val="0"/>
                <w:sz w:val="24"/>
                <w:highlight w:val="none"/>
              </w:rPr>
              <w:t>1分</w:t>
            </w:r>
          </w:p>
        </w:tc>
        <w:tc>
          <w:tcPr>
            <w:tcW w:w="775" w:type="dxa"/>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837" w:type="dxa"/>
            <w:vMerge w:val="continue"/>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c>
          <w:tcPr>
            <w:tcW w:w="1212" w:type="dxa"/>
            <w:vMerge w:val="restart"/>
            <w:noWrap/>
            <w:vAlign w:val="center"/>
          </w:tcPr>
          <w:p>
            <w:pPr>
              <w:widowControl w:val="0"/>
              <w:adjustRightInd w:val="0"/>
              <w:snapToGrid w:val="0"/>
              <w:spacing w:after="0"/>
              <w:jc w:val="left"/>
              <w:rPr>
                <w:rFonts w:ascii="Times New Roman" w:hAnsi="Times New Roman" w:eastAsia="黑体" w:cs="Times New Roman"/>
                <w:color w:val="auto"/>
                <w:kern w:val="0"/>
                <w:sz w:val="32"/>
                <w:szCs w:val="32"/>
                <w:highlight w:val="none"/>
              </w:rPr>
            </w:pPr>
            <w:r>
              <w:rPr>
                <w:rFonts w:ascii="Times New Roman" w:hAnsi="Times New Roman" w:eastAsia="黑体" w:cs="Times New Roman"/>
                <w:color w:val="auto"/>
                <w:kern w:val="0"/>
                <w:sz w:val="24"/>
                <w:highlight w:val="none"/>
              </w:rPr>
              <w:t>评估说明内容的完整性、合理性（45分）</w:t>
            </w:r>
          </w:p>
          <w:p>
            <w:pPr>
              <w:widowControl w:val="0"/>
              <w:adjustRightInd w:val="0"/>
              <w:snapToGrid w:val="0"/>
              <w:spacing w:after="0"/>
              <w:jc w:val="left"/>
              <w:rPr>
                <w:rFonts w:ascii="Times New Roman" w:hAnsi="Times New Roman" w:eastAsia="仿宋" w:cs="Times New Roman"/>
                <w:color w:val="auto"/>
                <w:kern w:val="0"/>
                <w:sz w:val="28"/>
                <w:szCs w:val="28"/>
                <w:highlight w:val="none"/>
              </w:rPr>
            </w:pPr>
          </w:p>
        </w:tc>
        <w:tc>
          <w:tcPr>
            <w:tcW w:w="4050" w:type="dxa"/>
            <w:gridSpan w:val="3"/>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资产基础法部分：说明内容是否符合相关评估准则规定，是否根据资产分类介绍评估方法，各类资产选取的评估方法、参数以及评估结果是否合理，重要资产是否有案例，案例作价是否与取价依据匹配、计算无误，账外无形资产是否纳入评估范围，是否存在简单按账面值确认评估值且理由不充分的情况。（20分）</w:t>
            </w:r>
          </w:p>
        </w:tc>
        <w:tc>
          <w:tcPr>
            <w:tcW w:w="1888"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优秀</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17</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20分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较好</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13</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16分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9</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12分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0-8分</w:t>
            </w:r>
          </w:p>
        </w:tc>
        <w:tc>
          <w:tcPr>
            <w:tcW w:w="775" w:type="dxa"/>
            <w:noWrap/>
            <w:vAlign w:val="center"/>
          </w:tcPr>
          <w:p>
            <w:pPr>
              <w:widowControl w:val="0"/>
              <w:adjustRightInd w:val="0"/>
              <w:snapToGrid w:val="0"/>
              <w:spacing w:after="0"/>
              <w:jc w:val="center"/>
              <w:rPr>
                <w:rFonts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8" w:hRule="atLeast"/>
        </w:trPr>
        <w:tc>
          <w:tcPr>
            <w:tcW w:w="837" w:type="dxa"/>
            <w:vMerge w:val="continue"/>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c>
          <w:tcPr>
            <w:tcW w:w="1212" w:type="dxa"/>
            <w:vMerge w:val="continue"/>
            <w:noWrap/>
            <w:vAlign w:val="top"/>
          </w:tcPr>
          <w:p>
            <w:pPr>
              <w:widowControl w:val="0"/>
              <w:adjustRightInd w:val="0"/>
              <w:snapToGrid w:val="0"/>
              <w:spacing w:after="0"/>
              <w:jc w:val="left"/>
              <w:rPr>
                <w:rFonts w:ascii="Times New Roman" w:hAnsi="Times New Roman" w:eastAsia="仿宋" w:cs="Times New Roman"/>
                <w:color w:val="auto"/>
                <w:kern w:val="0"/>
                <w:sz w:val="28"/>
                <w:szCs w:val="28"/>
                <w:highlight w:val="none"/>
              </w:rPr>
            </w:pPr>
          </w:p>
        </w:tc>
        <w:tc>
          <w:tcPr>
            <w:tcW w:w="4050" w:type="dxa"/>
            <w:gridSpan w:val="3"/>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收益法部分：对企业资产、财务情况的分析是否充分、合理，是否根据企业所在行业、经营特点、收益情况等选择恰当的收益模型，是否合理确定收益期限，对应的折现率确定过程和依据是否合理，是否对经营性资产的收入、成本及费用、折旧摊销、营运资金、资本性支出、所得税等进行合理预测，并充分说明依据及理由，是否对被评估企业的非经营性资产、负债和溢余资产进行准确界定及评估。（20分）</w:t>
            </w:r>
          </w:p>
        </w:tc>
        <w:tc>
          <w:tcPr>
            <w:tcW w:w="1888"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优秀</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17</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20分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较好</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13</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16分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9</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12分</w:t>
            </w:r>
          </w:p>
          <w:p>
            <w:pPr>
              <w:widowControl w:val="0"/>
              <w:adjustRightInd w:val="0"/>
              <w:snapToGrid w:val="0"/>
              <w:spacing w:after="0"/>
              <w:jc w:val="left"/>
              <w:rPr>
                <w:rFonts w:ascii="Times New Roman" w:hAnsi="Times New Roman" w:eastAsia="黑体" w:cs="Times New Roman"/>
                <w:color w:val="auto"/>
                <w:kern w:val="0"/>
                <w:sz w:val="32"/>
                <w:szCs w:val="32"/>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w:t>
            </w:r>
            <w:r>
              <w:rPr>
                <w:rFonts w:hint="eastAsia" w:ascii="Times New Roman" w:hAnsi="Times New Roman" w:eastAsia="仿宋" w:cs="Times New Roman"/>
                <w:color w:val="auto"/>
                <w:kern w:val="0"/>
                <w:sz w:val="24"/>
                <w:highlight w:val="none"/>
                <w:lang w:val="en-US" w:eastAsia="zh-CN"/>
              </w:rPr>
              <w:t>-</w:t>
            </w:r>
            <w:r>
              <w:rPr>
                <w:rFonts w:ascii="Times New Roman" w:hAnsi="Times New Roman" w:eastAsia="仿宋" w:cs="Times New Roman"/>
                <w:color w:val="auto"/>
                <w:kern w:val="0"/>
                <w:sz w:val="24"/>
                <w:highlight w:val="none"/>
              </w:rPr>
              <w:t>8分</w:t>
            </w:r>
          </w:p>
        </w:tc>
        <w:tc>
          <w:tcPr>
            <w:tcW w:w="775" w:type="dxa"/>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Merge w:val="continue"/>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c>
          <w:tcPr>
            <w:tcW w:w="1212" w:type="dxa"/>
            <w:vMerge w:val="continue"/>
            <w:noWrap/>
            <w:vAlign w:val="top"/>
          </w:tcPr>
          <w:p>
            <w:pPr>
              <w:widowControl w:val="0"/>
              <w:adjustRightInd w:val="0"/>
              <w:snapToGrid w:val="0"/>
              <w:spacing w:after="0"/>
              <w:jc w:val="left"/>
              <w:rPr>
                <w:rFonts w:ascii="Times New Roman" w:hAnsi="Times New Roman" w:eastAsia="仿宋" w:cs="Times New Roman"/>
                <w:color w:val="auto"/>
                <w:kern w:val="0"/>
                <w:sz w:val="28"/>
                <w:szCs w:val="28"/>
                <w:highlight w:val="none"/>
              </w:rPr>
            </w:pPr>
          </w:p>
        </w:tc>
        <w:tc>
          <w:tcPr>
            <w:tcW w:w="4050" w:type="dxa"/>
            <w:gridSpan w:val="3"/>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市场法部分：选择的可比案例是否与被评估企业具有可比性，是否对相关数据进行分析调整，并消除偶然因素，选择的价值比率是否合理，是否合理考虑流动性折扣，是否根据企业实际情况选择多种价值比率，并进行合理分析，确定最终评估结果。（20分）</w:t>
            </w:r>
          </w:p>
        </w:tc>
        <w:tc>
          <w:tcPr>
            <w:tcW w:w="1888"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优秀</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17</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20分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较好</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13</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16分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9</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12分</w:t>
            </w:r>
          </w:p>
          <w:p>
            <w:pPr>
              <w:widowControl w:val="0"/>
              <w:adjustRightInd w:val="0"/>
              <w:snapToGrid w:val="0"/>
              <w:spacing w:after="0"/>
              <w:jc w:val="left"/>
              <w:rPr>
                <w:rFonts w:ascii="Times New Roman" w:hAnsi="Times New Roman" w:eastAsia="黑体" w:cs="Times New Roman"/>
                <w:color w:val="auto"/>
                <w:kern w:val="0"/>
                <w:sz w:val="32"/>
                <w:szCs w:val="32"/>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w:t>
            </w:r>
            <w:r>
              <w:rPr>
                <w:rFonts w:hint="eastAsia" w:ascii="Times New Roman" w:hAnsi="Times New Roman" w:eastAsia="仿宋" w:cs="Times New Roman"/>
                <w:color w:val="auto"/>
                <w:kern w:val="0"/>
                <w:sz w:val="24"/>
                <w:highlight w:val="none"/>
                <w:lang w:val="en-US" w:eastAsia="zh-CN"/>
              </w:rPr>
              <w:t>-</w:t>
            </w:r>
            <w:r>
              <w:rPr>
                <w:rFonts w:ascii="Times New Roman" w:hAnsi="Times New Roman" w:eastAsia="仿宋" w:cs="Times New Roman"/>
                <w:color w:val="auto"/>
                <w:kern w:val="0"/>
                <w:sz w:val="24"/>
                <w:highlight w:val="none"/>
              </w:rPr>
              <w:t>8分</w:t>
            </w:r>
          </w:p>
        </w:tc>
        <w:tc>
          <w:tcPr>
            <w:tcW w:w="775" w:type="dxa"/>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837" w:type="dxa"/>
            <w:vMerge w:val="continue"/>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c>
          <w:tcPr>
            <w:tcW w:w="1212" w:type="dxa"/>
            <w:vMerge w:val="continue"/>
            <w:noWrap/>
            <w:vAlign w:val="top"/>
          </w:tcPr>
          <w:p>
            <w:pPr>
              <w:widowControl w:val="0"/>
              <w:adjustRightInd w:val="0"/>
              <w:snapToGrid w:val="0"/>
              <w:spacing w:after="0"/>
              <w:jc w:val="left"/>
              <w:rPr>
                <w:rFonts w:ascii="Times New Roman" w:hAnsi="Times New Roman" w:eastAsia="仿宋" w:cs="Times New Roman"/>
                <w:color w:val="auto"/>
                <w:kern w:val="0"/>
                <w:sz w:val="28"/>
                <w:szCs w:val="28"/>
                <w:highlight w:val="none"/>
              </w:rPr>
            </w:pPr>
          </w:p>
        </w:tc>
        <w:tc>
          <w:tcPr>
            <w:tcW w:w="4050" w:type="dxa"/>
            <w:gridSpan w:val="3"/>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评估说明整体是否详略得当，是否存在明显</w:t>
            </w:r>
            <w:r>
              <w:rPr>
                <w:rFonts w:hint="eastAsia" w:ascii="Times New Roman" w:hAnsi="Times New Roman" w:eastAsia="仿宋" w:cs="Times New Roman"/>
                <w:color w:val="auto"/>
                <w:kern w:val="0"/>
                <w:sz w:val="24"/>
                <w:highlight w:val="none"/>
                <w:lang w:eastAsia="zh-CN"/>
              </w:rPr>
              <w:t>模板</w:t>
            </w:r>
            <w:r>
              <w:rPr>
                <w:rFonts w:ascii="Times New Roman" w:hAnsi="Times New Roman" w:eastAsia="仿宋" w:cs="Times New Roman"/>
                <w:color w:val="auto"/>
                <w:kern w:val="0"/>
                <w:sz w:val="24"/>
                <w:highlight w:val="none"/>
              </w:rPr>
              <w:t>化内容，或者说明简略无法判断合理性的情况，是否存在较多低级错误。（5分）</w:t>
            </w:r>
          </w:p>
        </w:tc>
        <w:tc>
          <w:tcPr>
            <w:tcW w:w="1888"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优秀</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5分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3</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4分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0-2分</w:t>
            </w:r>
          </w:p>
        </w:tc>
        <w:tc>
          <w:tcPr>
            <w:tcW w:w="775" w:type="dxa"/>
            <w:noWrap/>
            <w:vAlign w:val="top"/>
          </w:tcPr>
          <w:p>
            <w:pPr>
              <w:widowControl w:val="0"/>
              <w:adjustRightInd w:val="0"/>
              <w:snapToGrid w:val="0"/>
              <w:spacing w:after="0"/>
              <w:jc w:val="center"/>
              <w:rPr>
                <w:rFonts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Merge w:val="continue"/>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c>
          <w:tcPr>
            <w:tcW w:w="1212" w:type="dxa"/>
            <w:vMerge w:val="restart"/>
            <w:noWrap/>
            <w:vAlign w:val="center"/>
          </w:tcPr>
          <w:p>
            <w:pPr>
              <w:widowControl w:val="0"/>
              <w:adjustRightInd w:val="0"/>
              <w:snapToGrid w:val="0"/>
              <w:spacing w:after="0"/>
              <w:jc w:val="left"/>
              <w:rPr>
                <w:rFonts w:ascii="Times New Roman" w:hAnsi="Times New Roman" w:eastAsia="仿宋" w:cs="Times New Roman"/>
                <w:color w:val="auto"/>
                <w:kern w:val="0"/>
                <w:sz w:val="28"/>
                <w:szCs w:val="28"/>
                <w:highlight w:val="none"/>
              </w:rPr>
            </w:pPr>
            <w:r>
              <w:rPr>
                <w:rFonts w:ascii="Times New Roman" w:hAnsi="Times New Roman" w:eastAsia="黑体" w:cs="Times New Roman"/>
                <w:color w:val="auto"/>
                <w:kern w:val="0"/>
                <w:sz w:val="24"/>
                <w:highlight w:val="none"/>
              </w:rPr>
              <w:t>评估报告修改情况（13分）</w:t>
            </w:r>
          </w:p>
        </w:tc>
        <w:tc>
          <w:tcPr>
            <w:tcW w:w="4050" w:type="dxa"/>
            <w:gridSpan w:val="3"/>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评估报告是否因评估机构原因经过三次以上修改才符合要求。（5分）</w:t>
            </w:r>
          </w:p>
        </w:tc>
        <w:tc>
          <w:tcPr>
            <w:tcW w:w="1888" w:type="dxa"/>
            <w:gridSpan w:val="2"/>
            <w:noWrap/>
            <w:vAlign w:val="center"/>
          </w:tcPr>
          <w:p>
            <w:pPr>
              <w:widowControl w:val="0"/>
              <w:adjustRightInd w:val="0"/>
              <w:snapToGrid w:val="0"/>
              <w:spacing w:after="0" w:line="280" w:lineRule="exact"/>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0-1次</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5分</w:t>
            </w:r>
          </w:p>
          <w:p>
            <w:pPr>
              <w:widowControl w:val="0"/>
              <w:adjustRightInd w:val="0"/>
              <w:snapToGrid w:val="0"/>
              <w:spacing w:after="0" w:line="280" w:lineRule="exact"/>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2次</w:t>
            </w:r>
            <w:r>
              <w:rPr>
                <w:rFonts w:hint="eastAsia" w:ascii="Times New Roman" w:hAnsi="Times New Roman" w:eastAsia="仿宋" w:cs="Times New Roman"/>
                <w:color w:val="auto"/>
                <w:kern w:val="0"/>
                <w:sz w:val="24"/>
                <w:highlight w:val="none"/>
                <w:lang w:eastAsia="zh-CN"/>
              </w:rPr>
              <w:t>：</w:t>
            </w:r>
            <w:r>
              <w:rPr>
                <w:rFonts w:hint="eastAsia" w:ascii="Times New Roman" w:hAnsi="Times New Roman" w:eastAsia="仿宋" w:cs="Times New Roman"/>
                <w:color w:val="auto"/>
                <w:kern w:val="0"/>
                <w:sz w:val="24"/>
                <w:highlight w:val="none"/>
                <w:lang w:val="en-US" w:eastAsia="zh-CN"/>
              </w:rPr>
              <w:t>4</w:t>
            </w:r>
            <w:r>
              <w:rPr>
                <w:rFonts w:ascii="Times New Roman" w:hAnsi="Times New Roman" w:eastAsia="仿宋" w:cs="Times New Roman"/>
                <w:color w:val="auto"/>
                <w:kern w:val="0"/>
                <w:sz w:val="24"/>
                <w:highlight w:val="none"/>
              </w:rPr>
              <w:t>分</w:t>
            </w:r>
          </w:p>
          <w:p>
            <w:pPr>
              <w:widowControl w:val="0"/>
              <w:adjustRightInd w:val="0"/>
              <w:snapToGrid w:val="0"/>
              <w:spacing w:after="0" w:line="280" w:lineRule="exact"/>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3次</w:t>
            </w:r>
            <w:r>
              <w:rPr>
                <w:rFonts w:hint="eastAsia" w:ascii="Times New Roman" w:hAnsi="Times New Roman" w:eastAsia="仿宋" w:cs="Times New Roman"/>
                <w:color w:val="auto"/>
                <w:kern w:val="0"/>
                <w:sz w:val="24"/>
                <w:highlight w:val="none"/>
                <w:lang w:eastAsia="zh-CN"/>
              </w:rPr>
              <w:t>：</w:t>
            </w:r>
            <w:r>
              <w:rPr>
                <w:rFonts w:hint="eastAsia" w:ascii="Times New Roman" w:hAnsi="Times New Roman" w:eastAsia="仿宋" w:cs="Times New Roman"/>
                <w:color w:val="auto"/>
                <w:kern w:val="0"/>
                <w:sz w:val="24"/>
                <w:highlight w:val="none"/>
                <w:lang w:val="en-US" w:eastAsia="zh-CN"/>
              </w:rPr>
              <w:t>2-3</w:t>
            </w:r>
            <w:r>
              <w:rPr>
                <w:rFonts w:ascii="Times New Roman" w:hAnsi="Times New Roman" w:eastAsia="仿宋" w:cs="Times New Roman"/>
                <w:color w:val="auto"/>
                <w:kern w:val="0"/>
                <w:sz w:val="24"/>
                <w:highlight w:val="none"/>
              </w:rPr>
              <w:t>分</w:t>
            </w:r>
          </w:p>
          <w:p>
            <w:pPr>
              <w:widowControl w:val="0"/>
              <w:adjustRightInd w:val="0"/>
              <w:snapToGrid w:val="0"/>
              <w:spacing w:after="0" w:line="280" w:lineRule="exact"/>
              <w:jc w:val="left"/>
              <w:rPr>
                <w:rFonts w:ascii="Times New Roman" w:hAnsi="Times New Roman" w:eastAsia="黑体" w:cs="Times New Roman"/>
                <w:color w:val="auto"/>
                <w:kern w:val="0"/>
                <w:sz w:val="32"/>
                <w:szCs w:val="32"/>
                <w:highlight w:val="none"/>
              </w:rPr>
            </w:pPr>
            <w:r>
              <w:rPr>
                <w:rFonts w:ascii="Times New Roman" w:hAnsi="Times New Roman" w:eastAsia="仿宋" w:cs="Times New Roman"/>
                <w:color w:val="auto"/>
                <w:kern w:val="0"/>
                <w:sz w:val="24"/>
                <w:highlight w:val="none"/>
              </w:rPr>
              <w:t>3次以上</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w:t>
            </w:r>
            <w:r>
              <w:rPr>
                <w:rFonts w:hint="eastAsia" w:ascii="Times New Roman" w:hAnsi="Times New Roman" w:eastAsia="仿宋" w:cs="Times New Roman"/>
                <w:color w:val="auto"/>
                <w:kern w:val="0"/>
                <w:sz w:val="24"/>
                <w:highlight w:val="none"/>
                <w:lang w:val="en-US" w:eastAsia="zh-CN"/>
              </w:rPr>
              <w:t>-1</w:t>
            </w:r>
            <w:r>
              <w:rPr>
                <w:rFonts w:ascii="Times New Roman" w:hAnsi="Times New Roman" w:eastAsia="仿宋" w:cs="Times New Roman"/>
                <w:color w:val="auto"/>
                <w:kern w:val="0"/>
                <w:sz w:val="24"/>
                <w:highlight w:val="none"/>
              </w:rPr>
              <w:t>分</w:t>
            </w:r>
          </w:p>
        </w:tc>
        <w:tc>
          <w:tcPr>
            <w:tcW w:w="775" w:type="dxa"/>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Merge w:val="continue"/>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c>
          <w:tcPr>
            <w:tcW w:w="1212" w:type="dxa"/>
            <w:vMerge w:val="continue"/>
            <w:noWrap/>
            <w:vAlign w:val="top"/>
          </w:tcPr>
          <w:p>
            <w:pPr>
              <w:widowControl w:val="0"/>
              <w:adjustRightInd w:val="0"/>
              <w:snapToGrid w:val="0"/>
              <w:spacing w:after="0"/>
              <w:jc w:val="left"/>
              <w:rPr>
                <w:rFonts w:ascii="Times New Roman" w:hAnsi="Times New Roman" w:eastAsia="仿宋" w:cs="Times New Roman"/>
                <w:color w:val="auto"/>
                <w:kern w:val="0"/>
                <w:sz w:val="28"/>
                <w:szCs w:val="28"/>
                <w:highlight w:val="none"/>
              </w:rPr>
            </w:pPr>
          </w:p>
        </w:tc>
        <w:tc>
          <w:tcPr>
            <w:tcW w:w="4050" w:type="dxa"/>
            <w:gridSpan w:val="3"/>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评估结果调整情况</w:t>
            </w:r>
            <w:r>
              <w:rPr>
                <w:rFonts w:hint="eastAsia" w:ascii="Times New Roman" w:hAnsi="Times New Roman" w:eastAsia="仿宋" w:cs="Times New Roman"/>
                <w:color w:val="auto"/>
                <w:kern w:val="0"/>
                <w:sz w:val="24"/>
                <w:highlight w:val="none"/>
                <w:lang w:eastAsia="zh-CN"/>
              </w:rPr>
              <w:t>（资产基础法评估结果调整比例以总资产评估值为计算基数）</w:t>
            </w:r>
            <w:r>
              <w:rPr>
                <w:rFonts w:ascii="Times New Roman" w:hAnsi="Times New Roman" w:eastAsia="仿宋" w:cs="Times New Roman"/>
                <w:color w:val="auto"/>
                <w:kern w:val="0"/>
                <w:sz w:val="24"/>
                <w:highlight w:val="none"/>
              </w:rPr>
              <w:t>。（8分）</w:t>
            </w:r>
          </w:p>
        </w:tc>
        <w:tc>
          <w:tcPr>
            <w:tcW w:w="1888" w:type="dxa"/>
            <w:gridSpan w:val="2"/>
            <w:noWrap/>
            <w:vAlign w:val="center"/>
          </w:tcPr>
          <w:p>
            <w:pPr>
              <w:widowControl w:val="0"/>
              <w:adjustRightInd w:val="0"/>
              <w:snapToGrid w:val="0"/>
              <w:spacing w:after="0" w:line="280" w:lineRule="exact"/>
              <w:jc w:val="left"/>
              <w:rPr>
                <w:rFonts w:ascii="Times New Roman" w:hAnsi="Times New Roman" w:eastAsia="仿宋" w:cs="Times New Roman"/>
                <w:color w:val="auto"/>
                <w:kern w:val="0"/>
                <w:sz w:val="22"/>
                <w:szCs w:val="21"/>
                <w:highlight w:val="none"/>
              </w:rPr>
            </w:pPr>
            <w:r>
              <w:rPr>
                <w:rFonts w:ascii="Times New Roman" w:hAnsi="Times New Roman" w:eastAsia="仿宋" w:cs="Times New Roman"/>
                <w:color w:val="auto"/>
                <w:kern w:val="0"/>
                <w:sz w:val="22"/>
                <w:szCs w:val="21"/>
                <w:highlight w:val="none"/>
              </w:rPr>
              <w:t>未调整</w:t>
            </w:r>
            <w:r>
              <w:rPr>
                <w:rFonts w:hint="eastAsia" w:ascii="Times New Roman" w:hAnsi="Times New Roman" w:eastAsia="仿宋" w:cs="Times New Roman"/>
                <w:color w:val="auto"/>
                <w:kern w:val="0"/>
                <w:sz w:val="22"/>
                <w:szCs w:val="21"/>
                <w:highlight w:val="none"/>
                <w:lang w:eastAsia="zh-CN"/>
              </w:rPr>
              <w:t>：</w:t>
            </w:r>
            <w:r>
              <w:rPr>
                <w:rFonts w:ascii="Times New Roman" w:hAnsi="Times New Roman" w:eastAsia="仿宋" w:cs="Times New Roman"/>
                <w:color w:val="auto"/>
                <w:kern w:val="0"/>
                <w:sz w:val="22"/>
                <w:szCs w:val="21"/>
                <w:highlight w:val="none"/>
              </w:rPr>
              <w:t>8分</w:t>
            </w:r>
          </w:p>
          <w:p>
            <w:pPr>
              <w:widowControl w:val="0"/>
              <w:adjustRightInd w:val="0"/>
              <w:snapToGrid w:val="0"/>
              <w:spacing w:after="0" w:line="280" w:lineRule="exact"/>
              <w:jc w:val="left"/>
              <w:rPr>
                <w:rFonts w:ascii="Times New Roman" w:hAnsi="Times New Roman" w:eastAsia="仿宋" w:cs="Times New Roman"/>
                <w:color w:val="auto"/>
                <w:kern w:val="0"/>
                <w:sz w:val="22"/>
                <w:szCs w:val="21"/>
                <w:highlight w:val="none"/>
              </w:rPr>
            </w:pPr>
            <w:r>
              <w:rPr>
                <w:rFonts w:ascii="Times New Roman" w:hAnsi="Times New Roman" w:eastAsia="仿宋" w:cs="Times New Roman"/>
                <w:color w:val="auto"/>
                <w:kern w:val="0"/>
                <w:sz w:val="22"/>
                <w:szCs w:val="21"/>
                <w:highlight w:val="none"/>
              </w:rPr>
              <w:t>小于5%</w:t>
            </w:r>
            <w:r>
              <w:rPr>
                <w:rFonts w:hint="eastAsia" w:ascii="Times New Roman" w:hAnsi="Times New Roman" w:eastAsia="仿宋" w:cs="Times New Roman"/>
                <w:color w:val="auto"/>
                <w:kern w:val="0"/>
                <w:sz w:val="22"/>
                <w:szCs w:val="21"/>
                <w:highlight w:val="none"/>
                <w:lang w:eastAsia="zh-CN"/>
              </w:rPr>
              <w:t>：</w:t>
            </w:r>
            <w:r>
              <w:rPr>
                <w:rFonts w:ascii="Times New Roman" w:hAnsi="Times New Roman" w:eastAsia="仿宋" w:cs="Times New Roman"/>
                <w:color w:val="auto"/>
                <w:kern w:val="0"/>
                <w:sz w:val="22"/>
                <w:szCs w:val="21"/>
                <w:highlight w:val="none"/>
              </w:rPr>
              <w:t>5</w:t>
            </w:r>
            <w:r>
              <w:rPr>
                <w:rFonts w:hint="eastAsia" w:ascii="Times New Roman" w:hAnsi="Times New Roman" w:eastAsia="仿宋" w:cs="Times New Roman"/>
                <w:color w:val="auto"/>
                <w:kern w:val="0"/>
                <w:sz w:val="22"/>
                <w:szCs w:val="21"/>
                <w:highlight w:val="none"/>
                <w:lang w:eastAsia="zh-CN"/>
              </w:rPr>
              <w:t>-</w:t>
            </w:r>
            <w:r>
              <w:rPr>
                <w:rFonts w:ascii="Times New Roman" w:hAnsi="Times New Roman" w:eastAsia="仿宋" w:cs="Times New Roman"/>
                <w:color w:val="auto"/>
                <w:kern w:val="0"/>
                <w:sz w:val="22"/>
                <w:szCs w:val="21"/>
                <w:highlight w:val="none"/>
              </w:rPr>
              <w:t>7分</w:t>
            </w:r>
          </w:p>
          <w:p>
            <w:pPr>
              <w:widowControl w:val="0"/>
              <w:adjustRightInd w:val="0"/>
              <w:snapToGrid w:val="0"/>
              <w:spacing w:after="0" w:line="280" w:lineRule="exact"/>
              <w:jc w:val="left"/>
              <w:rPr>
                <w:rFonts w:ascii="Times New Roman" w:hAnsi="Times New Roman" w:eastAsia="仿宋" w:cs="Times New Roman"/>
                <w:color w:val="auto"/>
                <w:kern w:val="0"/>
                <w:sz w:val="22"/>
                <w:szCs w:val="21"/>
                <w:highlight w:val="none"/>
              </w:rPr>
            </w:pPr>
            <w:r>
              <w:rPr>
                <w:rFonts w:ascii="Times New Roman" w:hAnsi="Times New Roman" w:eastAsia="仿宋" w:cs="Times New Roman"/>
                <w:color w:val="auto"/>
                <w:kern w:val="0"/>
                <w:sz w:val="22"/>
                <w:szCs w:val="21"/>
                <w:highlight w:val="none"/>
              </w:rPr>
              <w:t>5%</w:t>
            </w:r>
            <w:r>
              <w:rPr>
                <w:rFonts w:hint="eastAsia" w:ascii="Times New Roman" w:hAnsi="Times New Roman" w:eastAsia="仿宋" w:cs="Times New Roman"/>
                <w:color w:val="auto"/>
                <w:kern w:val="0"/>
                <w:sz w:val="22"/>
                <w:szCs w:val="21"/>
                <w:highlight w:val="none"/>
                <w:lang w:eastAsia="zh-CN"/>
              </w:rPr>
              <w:t>-</w:t>
            </w:r>
            <w:r>
              <w:rPr>
                <w:rFonts w:ascii="Times New Roman" w:hAnsi="Times New Roman" w:eastAsia="仿宋" w:cs="Times New Roman"/>
                <w:color w:val="auto"/>
                <w:kern w:val="0"/>
                <w:sz w:val="22"/>
                <w:szCs w:val="21"/>
                <w:highlight w:val="none"/>
              </w:rPr>
              <w:t>10%</w:t>
            </w:r>
            <w:r>
              <w:rPr>
                <w:rFonts w:hint="eastAsia" w:ascii="Times New Roman" w:hAnsi="Times New Roman" w:eastAsia="仿宋" w:cs="Times New Roman"/>
                <w:color w:val="auto"/>
                <w:kern w:val="0"/>
                <w:sz w:val="22"/>
                <w:szCs w:val="21"/>
                <w:highlight w:val="none"/>
                <w:lang w:eastAsia="zh-CN"/>
              </w:rPr>
              <w:t>：</w:t>
            </w:r>
            <w:r>
              <w:rPr>
                <w:rFonts w:ascii="Times New Roman" w:hAnsi="Times New Roman" w:eastAsia="仿宋" w:cs="Times New Roman"/>
                <w:color w:val="auto"/>
                <w:kern w:val="0"/>
                <w:sz w:val="22"/>
                <w:szCs w:val="21"/>
                <w:highlight w:val="none"/>
              </w:rPr>
              <w:t>1</w:t>
            </w:r>
            <w:r>
              <w:rPr>
                <w:rFonts w:hint="eastAsia" w:ascii="Times New Roman" w:hAnsi="Times New Roman" w:eastAsia="仿宋" w:cs="Times New Roman"/>
                <w:color w:val="auto"/>
                <w:kern w:val="0"/>
                <w:sz w:val="22"/>
                <w:szCs w:val="21"/>
                <w:highlight w:val="none"/>
                <w:lang w:eastAsia="zh-CN"/>
              </w:rPr>
              <w:t>-</w:t>
            </w:r>
            <w:r>
              <w:rPr>
                <w:rFonts w:ascii="Times New Roman" w:hAnsi="Times New Roman" w:eastAsia="仿宋" w:cs="Times New Roman"/>
                <w:color w:val="auto"/>
                <w:kern w:val="0"/>
                <w:sz w:val="22"/>
                <w:szCs w:val="21"/>
                <w:highlight w:val="none"/>
              </w:rPr>
              <w:t>4分</w:t>
            </w:r>
          </w:p>
          <w:p>
            <w:pPr>
              <w:widowControl w:val="0"/>
              <w:adjustRightInd w:val="0"/>
              <w:snapToGrid w:val="0"/>
              <w:spacing w:after="0" w:line="280" w:lineRule="exact"/>
              <w:jc w:val="left"/>
              <w:rPr>
                <w:rFonts w:ascii="Times New Roman" w:hAnsi="Times New Roman" w:eastAsia="仿宋" w:cs="Times New Roman"/>
                <w:color w:val="auto"/>
                <w:kern w:val="0"/>
                <w:sz w:val="22"/>
                <w:szCs w:val="21"/>
                <w:highlight w:val="none"/>
              </w:rPr>
            </w:pPr>
            <w:r>
              <w:rPr>
                <w:rFonts w:ascii="Times New Roman" w:hAnsi="Times New Roman" w:eastAsia="仿宋" w:cs="Times New Roman"/>
                <w:color w:val="auto"/>
                <w:kern w:val="0"/>
                <w:sz w:val="22"/>
                <w:szCs w:val="21"/>
                <w:highlight w:val="none"/>
              </w:rPr>
              <w:t>大于10%</w:t>
            </w:r>
            <w:r>
              <w:rPr>
                <w:rFonts w:hint="eastAsia" w:ascii="Times New Roman" w:hAnsi="Times New Roman" w:eastAsia="仿宋" w:cs="Times New Roman"/>
                <w:color w:val="auto"/>
                <w:kern w:val="0"/>
                <w:sz w:val="22"/>
                <w:szCs w:val="21"/>
                <w:highlight w:val="none"/>
                <w:lang w:eastAsia="zh-CN"/>
              </w:rPr>
              <w:t>：</w:t>
            </w:r>
            <w:r>
              <w:rPr>
                <w:rFonts w:ascii="Times New Roman" w:hAnsi="Times New Roman" w:eastAsia="仿宋" w:cs="Times New Roman"/>
                <w:color w:val="auto"/>
                <w:kern w:val="0"/>
                <w:sz w:val="22"/>
                <w:szCs w:val="21"/>
                <w:highlight w:val="none"/>
              </w:rPr>
              <w:t>0分</w:t>
            </w:r>
          </w:p>
        </w:tc>
        <w:tc>
          <w:tcPr>
            <w:tcW w:w="775" w:type="dxa"/>
            <w:noWrap/>
            <w:vAlign w:val="top"/>
          </w:tcPr>
          <w:p>
            <w:pPr>
              <w:widowControl w:val="0"/>
              <w:adjustRightInd w:val="0"/>
              <w:snapToGrid w:val="0"/>
              <w:spacing w:after="0"/>
              <w:jc w:val="center"/>
              <w:rPr>
                <w:rFonts w:ascii="Times New Roman" w:hAnsi="Times New Roman" w:eastAsia="仿宋" w:cs="Times New Roman"/>
                <w:color w:val="auto"/>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049" w:type="dxa"/>
            <w:gridSpan w:val="2"/>
            <w:noWrap/>
            <w:vAlign w:val="center"/>
          </w:tcPr>
          <w:p>
            <w:pPr>
              <w:widowControl w:val="0"/>
              <w:adjustRightInd w:val="0"/>
              <w:snapToGrid w:val="0"/>
              <w:spacing w:after="0" w:line="320" w:lineRule="exact"/>
              <w:jc w:val="center"/>
              <w:rPr>
                <w:rFonts w:ascii="Times New Roman" w:hAnsi="Times New Roman" w:eastAsia="仿宋" w:cs="Times New Roman"/>
                <w:color w:val="auto"/>
                <w:kern w:val="0"/>
                <w:sz w:val="28"/>
                <w:szCs w:val="28"/>
                <w:highlight w:val="none"/>
              </w:rPr>
            </w:pPr>
            <w:r>
              <w:rPr>
                <w:rFonts w:ascii="Times New Roman" w:hAnsi="Times New Roman" w:eastAsia="黑体" w:cs="Times New Roman"/>
                <w:color w:val="auto"/>
                <w:kern w:val="0"/>
                <w:sz w:val="24"/>
                <w:highlight w:val="none"/>
              </w:rPr>
              <w:t>合计分数</w:t>
            </w:r>
          </w:p>
        </w:tc>
        <w:tc>
          <w:tcPr>
            <w:tcW w:w="6713" w:type="dxa"/>
            <w:gridSpan w:val="6"/>
            <w:noWrap/>
            <w:vAlign w:val="center"/>
          </w:tcPr>
          <w:p>
            <w:pPr>
              <w:widowControl w:val="0"/>
              <w:adjustRightInd w:val="0"/>
              <w:snapToGrid w:val="0"/>
              <w:spacing w:after="0"/>
              <w:jc w:val="center"/>
              <w:rPr>
                <w:rFonts w:ascii="Times New Roman" w:hAnsi="Times New Roman" w:eastAsia="黑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049" w:type="dxa"/>
            <w:gridSpan w:val="2"/>
            <w:noWrap/>
            <w:vAlign w:val="center"/>
          </w:tcPr>
          <w:p>
            <w:pPr>
              <w:widowControl w:val="0"/>
              <w:adjustRightInd w:val="0"/>
              <w:snapToGrid w:val="0"/>
              <w:spacing w:after="0" w:line="320" w:lineRule="exact"/>
              <w:jc w:val="center"/>
              <w:rPr>
                <w:rFonts w:hint="eastAsia" w:ascii="Times New Roman" w:hAnsi="Times New Roman" w:eastAsia="黑体" w:cs="Times New Roman"/>
                <w:color w:val="auto"/>
                <w:kern w:val="0"/>
                <w:sz w:val="24"/>
                <w:highlight w:val="none"/>
                <w:lang w:eastAsia="zh-CN"/>
              </w:rPr>
            </w:pPr>
            <w:r>
              <w:rPr>
                <w:rFonts w:hint="eastAsia" w:ascii="Times New Roman" w:hAnsi="Times New Roman" w:eastAsia="黑体" w:cs="Times New Roman"/>
                <w:color w:val="auto"/>
                <w:kern w:val="0"/>
                <w:sz w:val="24"/>
                <w:highlight w:val="none"/>
                <w:lang w:eastAsia="zh-CN"/>
              </w:rPr>
              <w:t>不良记录</w:t>
            </w:r>
          </w:p>
        </w:tc>
        <w:tc>
          <w:tcPr>
            <w:tcW w:w="6713" w:type="dxa"/>
            <w:gridSpan w:val="6"/>
            <w:noWrap/>
            <w:vAlign w:val="center"/>
          </w:tcPr>
          <w:p>
            <w:pPr>
              <w:widowControl w:val="0"/>
              <w:adjustRightInd w:val="0"/>
              <w:snapToGrid w:val="0"/>
              <w:spacing w:after="0"/>
              <w:jc w:val="center"/>
              <w:rPr>
                <w:rFonts w:hint="eastAsia" w:ascii="Times New Roman" w:hAnsi="Times New Roman" w:eastAsia="黑体" w:cs="Times New Roman"/>
                <w:color w:val="auto"/>
                <w:kern w:val="0"/>
                <w:sz w:val="24"/>
                <w:highlight w:val="none"/>
                <w:lang w:eastAsia="zh-CN"/>
              </w:rPr>
            </w:pPr>
            <w:r>
              <w:rPr>
                <w:rFonts w:hint="eastAsia" w:ascii="Times New Roman" w:hAnsi="Times New Roman" w:eastAsia="仿宋" w:cs="Times New Roman"/>
                <w:color w:val="auto"/>
                <w:kern w:val="0"/>
                <w:sz w:val="24"/>
                <w:highlight w:val="none"/>
                <w:lang w:eastAsia="zh-CN"/>
              </w:rPr>
              <w:t>如存在十二、十三、十四条中情形，请具体说明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190" w:type="dxa"/>
            <w:gridSpan w:val="3"/>
            <w:noWrap/>
            <w:vAlign w:val="center"/>
          </w:tcPr>
          <w:p>
            <w:pPr>
              <w:widowControl w:val="0"/>
              <w:adjustRightInd w:val="0"/>
              <w:snapToGrid w:val="0"/>
              <w:spacing w:after="0"/>
              <w:jc w:val="center"/>
              <w:rPr>
                <w:rFonts w:ascii="Times New Roman" w:hAnsi="Times New Roman" w:eastAsia="黑体" w:cs="Times New Roman"/>
                <w:color w:val="auto"/>
                <w:kern w:val="0"/>
                <w:sz w:val="24"/>
                <w:highlight w:val="none"/>
              </w:rPr>
            </w:pPr>
            <w:r>
              <w:rPr>
                <w:rFonts w:hint="eastAsia" w:ascii="Times New Roman" w:hAnsi="Times New Roman" w:eastAsia="仿宋" w:cs="Times New Roman"/>
                <w:b/>
                <w:bCs/>
                <w:color w:val="auto"/>
                <w:kern w:val="0"/>
                <w:sz w:val="24"/>
                <w:highlight w:val="none"/>
                <w:lang w:val="en-US" w:eastAsia="zh-CN"/>
              </w:rPr>
              <w:t>评价人（评价单位）</w:t>
            </w:r>
          </w:p>
        </w:tc>
        <w:tc>
          <w:tcPr>
            <w:tcW w:w="2190" w:type="dxa"/>
            <w:noWrap/>
            <w:vAlign w:val="center"/>
          </w:tcPr>
          <w:p>
            <w:pPr>
              <w:widowControl w:val="0"/>
              <w:adjustRightInd w:val="0"/>
              <w:snapToGrid w:val="0"/>
              <w:spacing w:after="0"/>
              <w:jc w:val="center"/>
              <w:rPr>
                <w:rFonts w:ascii="Times New Roman" w:hAnsi="Times New Roman" w:eastAsia="黑体" w:cs="Times New Roman"/>
                <w:color w:val="auto"/>
                <w:kern w:val="0"/>
                <w:sz w:val="24"/>
                <w:highlight w:val="none"/>
              </w:rPr>
            </w:pPr>
          </w:p>
        </w:tc>
        <w:tc>
          <w:tcPr>
            <w:tcW w:w="2190" w:type="dxa"/>
            <w:gridSpan w:val="2"/>
            <w:noWrap/>
            <w:vAlign w:val="center"/>
          </w:tcPr>
          <w:p>
            <w:pPr>
              <w:widowControl w:val="0"/>
              <w:adjustRightInd w:val="0"/>
              <w:snapToGrid w:val="0"/>
              <w:spacing w:after="0"/>
              <w:jc w:val="center"/>
              <w:rPr>
                <w:rFonts w:ascii="Times New Roman" w:hAnsi="Times New Roman" w:eastAsia="黑体" w:cs="Times New Roman"/>
                <w:color w:val="auto"/>
                <w:kern w:val="0"/>
                <w:sz w:val="24"/>
                <w:highlight w:val="none"/>
              </w:rPr>
            </w:pPr>
            <w:r>
              <w:rPr>
                <w:rFonts w:hint="eastAsia" w:ascii="Times New Roman" w:hAnsi="Times New Roman" w:eastAsia="仿宋" w:cs="Times New Roman"/>
                <w:b/>
                <w:bCs/>
                <w:color w:val="auto"/>
                <w:kern w:val="0"/>
                <w:sz w:val="24"/>
                <w:highlight w:val="none"/>
                <w:lang w:val="en-US" w:eastAsia="zh-CN"/>
              </w:rPr>
              <w:t>评价时间</w:t>
            </w:r>
          </w:p>
        </w:tc>
        <w:tc>
          <w:tcPr>
            <w:tcW w:w="2192" w:type="dxa"/>
            <w:gridSpan w:val="2"/>
            <w:noWrap/>
            <w:vAlign w:val="center"/>
          </w:tcPr>
          <w:p>
            <w:pPr>
              <w:widowControl w:val="0"/>
              <w:adjustRightInd w:val="0"/>
              <w:snapToGrid w:val="0"/>
              <w:spacing w:after="0"/>
              <w:jc w:val="center"/>
              <w:rPr>
                <w:rFonts w:ascii="Times New Roman" w:hAnsi="Times New Roman" w:eastAsia="黑体" w:cs="Times New Roman"/>
                <w:color w:val="auto"/>
                <w:kern w:val="0"/>
                <w:sz w:val="24"/>
                <w:highlight w:val="none"/>
              </w:rPr>
            </w:pPr>
          </w:p>
        </w:tc>
      </w:tr>
    </w:tbl>
    <w:p>
      <w:pPr>
        <w:widowControl w:val="0"/>
        <w:adjustRightInd/>
        <w:snapToGrid/>
        <w:spacing w:after="0"/>
        <w:ind w:firstLine="482" w:firstLineChars="200"/>
        <w:jc w:val="left"/>
        <w:rPr>
          <w:rFonts w:hint="eastAsia" w:ascii="Times New Roman" w:hAnsi="Times New Roman" w:eastAsia="仿宋" w:cs="Times New Roman"/>
          <w:b/>
          <w:bCs/>
          <w:color w:val="auto"/>
          <w:kern w:val="0"/>
          <w:sz w:val="24"/>
          <w:highlight w:val="none"/>
          <w:lang w:val="en-US" w:eastAsia="zh-CN"/>
        </w:rPr>
      </w:pPr>
      <w:r>
        <w:rPr>
          <w:rFonts w:hint="eastAsia" w:ascii="Times New Roman" w:hAnsi="Times New Roman" w:eastAsia="仿宋" w:cs="Times New Roman"/>
          <w:b/>
          <w:bCs/>
          <w:color w:val="auto"/>
          <w:kern w:val="0"/>
          <w:sz w:val="24"/>
          <w:highlight w:val="none"/>
          <w:lang w:eastAsia="zh-CN"/>
        </w:rPr>
        <w:t>评价单位：</w:t>
      </w:r>
      <w:r>
        <w:rPr>
          <w:rFonts w:hint="eastAsia" w:ascii="Times New Roman" w:hAnsi="Times New Roman" w:eastAsia="仿宋" w:cs="Times New Roman"/>
          <w:b/>
          <w:bCs/>
          <w:color w:val="auto"/>
          <w:kern w:val="0"/>
          <w:sz w:val="24"/>
          <w:highlight w:val="none"/>
          <w:lang w:val="en-US" w:eastAsia="zh-CN"/>
        </w:rPr>
        <w:t xml:space="preserve">                </w:t>
      </w:r>
    </w:p>
    <w:p>
      <w:pPr>
        <w:widowControl w:val="0"/>
        <w:adjustRightInd/>
        <w:snapToGrid/>
        <w:spacing w:after="0"/>
        <w:ind w:firstLine="482" w:firstLineChars="200"/>
        <w:jc w:val="left"/>
        <w:rPr>
          <w:rFonts w:ascii="Times New Roman" w:hAnsi="Times New Roman" w:eastAsia="仿宋" w:cs="Times New Roman"/>
          <w:color w:val="auto"/>
          <w:kern w:val="0"/>
          <w:sz w:val="24"/>
          <w:highlight w:val="none"/>
        </w:rPr>
      </w:pPr>
      <w:r>
        <w:rPr>
          <w:rFonts w:ascii="Times New Roman" w:hAnsi="Times New Roman" w:eastAsia="仿宋" w:cs="Times New Roman"/>
          <w:b/>
          <w:bCs/>
          <w:color w:val="auto"/>
          <w:kern w:val="0"/>
          <w:sz w:val="24"/>
          <w:highlight w:val="none"/>
        </w:rPr>
        <w:t>填报说明：</w:t>
      </w:r>
      <w:r>
        <w:rPr>
          <w:rFonts w:ascii="Times New Roman" w:hAnsi="Times New Roman" w:eastAsia="仿宋" w:cs="Times New Roman"/>
          <w:color w:val="auto"/>
          <w:kern w:val="0"/>
          <w:sz w:val="24"/>
          <w:highlight w:val="none"/>
        </w:rPr>
        <w:t>评估说明内容的完整性、合理性打分部分，如果采用两种评估方法进行评估，两种评估方法的分值分别为20分，整体情况分值为5分。如果只采用一种评估方法进行评估，则该评估方法的分值为40分，打分后扣除5分作为此部分得分，整体情况分值为5分。</w:t>
      </w:r>
    </w:p>
    <w:p>
      <w:pPr>
        <w:widowControl w:val="0"/>
        <w:adjustRightInd/>
        <w:snapToGrid/>
        <w:spacing w:after="0"/>
        <w:ind w:firstLine="482" w:firstLineChars="200"/>
        <w:jc w:val="left"/>
        <w:rPr>
          <w:rFonts w:hint="eastAsia" w:ascii="Times New Roman" w:hAnsi="Times New Roman" w:eastAsia="仿宋" w:cs="Times New Roman"/>
          <w:color w:val="auto"/>
          <w:kern w:val="0"/>
          <w:sz w:val="24"/>
          <w:highlight w:val="none"/>
          <w:lang w:val="en-US" w:eastAsia="zh-CN"/>
        </w:rPr>
      </w:pPr>
      <w:r>
        <w:rPr>
          <w:rFonts w:hint="eastAsia" w:ascii="Times New Roman" w:hAnsi="Times New Roman" w:eastAsia="仿宋" w:cs="Times New Roman"/>
          <w:b/>
          <w:bCs/>
          <w:color w:val="auto"/>
          <w:kern w:val="0"/>
          <w:sz w:val="24"/>
          <w:highlight w:val="none"/>
          <w:lang w:val="en-US" w:eastAsia="zh-CN"/>
        </w:rPr>
        <w:t>注：</w:t>
      </w:r>
      <w:r>
        <w:rPr>
          <w:rFonts w:hint="eastAsia" w:ascii="Times New Roman" w:hAnsi="Times New Roman" w:eastAsia="仿宋" w:cs="Times New Roman"/>
          <w:color w:val="auto"/>
          <w:kern w:val="0"/>
          <w:sz w:val="24"/>
          <w:highlight w:val="none"/>
          <w:lang w:val="en-US" w:eastAsia="zh-CN"/>
        </w:rPr>
        <w:t>1.股东权益评估项目以资产基础法评估结果作为评估结果的，评估结果调整比例=（净资产最终评估结果-净资产首次报送评估结果）/总资产首次报送评估结果；以其他评估方法作为评估结果的，评估结果调整比例=（净资产最终评估结果-净资产首次报送评估结果）/净资产首次报送评估结果。</w:t>
      </w:r>
    </w:p>
    <w:p>
      <w:pPr>
        <w:widowControl w:val="0"/>
        <w:adjustRightInd/>
        <w:snapToGrid/>
        <w:spacing w:after="0"/>
        <w:ind w:firstLine="482" w:firstLineChars="200"/>
        <w:jc w:val="left"/>
        <w:rPr>
          <w:rFonts w:hint="eastAsia" w:ascii="Times New Roman" w:hAnsi="Times New Roman" w:eastAsia="仿宋" w:cs="Times New Roman"/>
          <w:color w:val="auto"/>
          <w:kern w:val="0"/>
          <w:sz w:val="24"/>
          <w:highlight w:val="none"/>
          <w:lang w:val="en-US" w:eastAsia="zh-CN"/>
        </w:rPr>
      </w:pPr>
      <w:r>
        <w:rPr>
          <w:rFonts w:hint="eastAsia" w:ascii="Times New Roman" w:hAnsi="Times New Roman" w:eastAsia="仿宋" w:cs="Times New Roman"/>
          <w:b/>
          <w:bCs/>
          <w:color w:val="auto"/>
          <w:kern w:val="0"/>
          <w:sz w:val="24"/>
          <w:highlight w:val="none"/>
          <w:lang w:val="en-US" w:eastAsia="zh-CN"/>
        </w:rPr>
        <w:t>2.排名评价结果（由“智慧国资”系统统一处理）：合计分数×</w:t>
      </w:r>
      <w:r>
        <w:rPr>
          <w:rFonts w:hint="eastAsia" w:ascii="Times New Roman" w:hAnsi="Times New Roman" w:eastAsia="仿宋" w:cs="Times New Roman"/>
          <w:color w:val="auto"/>
          <w:kern w:val="0"/>
          <w:sz w:val="24"/>
          <w:highlight w:val="none"/>
          <w:lang w:eastAsia="zh-CN"/>
        </w:rPr>
        <w:t>企业数量修正</w:t>
      </w:r>
      <w:r>
        <w:rPr>
          <w:rFonts w:hint="eastAsia" w:ascii="Times New Roman" w:hAnsi="Times New Roman" w:eastAsia="仿宋" w:cs="Times New Roman"/>
          <w:color w:val="auto"/>
          <w:kern w:val="0"/>
          <w:sz w:val="24"/>
          <w:highlight w:val="none"/>
          <w:lang w:val="en-US" w:eastAsia="zh-CN"/>
        </w:rPr>
        <w:t>×资产规模修正系数。</w:t>
      </w:r>
      <w:r>
        <w:rPr>
          <w:rFonts w:hint="eastAsia" w:ascii="Times New Roman" w:hAnsi="Times New Roman" w:eastAsia="仿宋" w:cs="Times New Roman"/>
          <w:color w:val="auto"/>
          <w:kern w:val="0"/>
          <w:sz w:val="24"/>
          <w:highlight w:val="none"/>
          <w:lang w:eastAsia="zh-CN"/>
        </w:rPr>
        <w:t>企业数量修正系数（出具企业独立评估说明的数量</w:t>
      </w:r>
      <w:r>
        <w:rPr>
          <w:rFonts w:hint="eastAsia" w:ascii="Times New Roman" w:hAnsi="Times New Roman" w:eastAsia="仿宋" w:cs="Times New Roman"/>
          <w:color w:val="auto"/>
          <w:kern w:val="0"/>
          <w:sz w:val="24"/>
          <w:highlight w:val="none"/>
          <w:lang w:val="en-US" w:eastAsia="zh-CN"/>
        </w:rPr>
        <w:t>10-100家为1.1，100家以上为1.2</w:t>
      </w:r>
      <w:r>
        <w:rPr>
          <w:rFonts w:hint="eastAsia" w:ascii="Times New Roman" w:hAnsi="Times New Roman" w:eastAsia="仿宋" w:cs="Times New Roman"/>
          <w:color w:val="auto"/>
          <w:kern w:val="0"/>
          <w:sz w:val="24"/>
          <w:highlight w:val="none"/>
          <w:lang w:eastAsia="zh-CN"/>
        </w:rPr>
        <w:t>）；</w:t>
      </w:r>
      <w:r>
        <w:rPr>
          <w:rFonts w:hint="eastAsia" w:ascii="Times New Roman" w:hAnsi="Times New Roman" w:eastAsia="仿宋" w:cs="Times New Roman"/>
          <w:color w:val="auto"/>
          <w:kern w:val="0"/>
          <w:sz w:val="24"/>
          <w:highlight w:val="none"/>
          <w:lang w:val="en-US" w:eastAsia="zh-CN"/>
        </w:rPr>
        <w:t>资产规模修正系数（资产评估值低于５千万为０.９，10亿-100亿元为1.05，高于100亿元为１.１）。</w:t>
      </w:r>
    </w:p>
    <w:p>
      <w:pPr>
        <w:keepNext w:val="0"/>
        <w:keepLines w:val="0"/>
        <w:pageBreakBefore w:val="0"/>
        <w:widowControl w:val="0"/>
        <w:kinsoku/>
        <w:wordWrap/>
        <w:overflowPunct/>
        <w:topLinePunct w:val="0"/>
        <w:autoSpaceDE/>
        <w:autoSpaceDN/>
        <w:bidi w:val="0"/>
        <w:adjustRightInd w:val="0"/>
        <w:snapToGrid w:val="0"/>
        <w:spacing w:after="0"/>
        <w:ind w:firstLine="480" w:firstLineChars="200"/>
        <w:jc w:val="both"/>
        <w:textAlignment w:val="auto"/>
        <w:rPr>
          <w:rFonts w:hint="eastAsia" w:ascii="Times New Roman" w:hAnsi="Times New Roman" w:eastAsia="仿宋" w:cs="Times New Roman"/>
          <w:color w:val="auto"/>
          <w:kern w:val="0"/>
          <w:sz w:val="24"/>
          <w:highlight w:val="none"/>
          <w:lang w:val="en-US" w:eastAsia="zh-CN"/>
        </w:rPr>
      </w:pPr>
    </w:p>
    <w:p>
      <w:pPr>
        <w:widowControl/>
        <w:adjustRightInd w:val="0"/>
        <w:snapToGrid w:val="0"/>
        <w:spacing w:after="0"/>
        <w:jc w:val="left"/>
        <w:rPr>
          <w:rFonts w:hint="eastAsia" w:ascii="Times New Roman" w:hAnsi="Times New Roman" w:eastAsia="黑体" w:cs="Times New Roman"/>
          <w:color w:val="auto"/>
          <w:kern w:val="0"/>
          <w:sz w:val="32"/>
          <w:szCs w:val="32"/>
          <w:highlight w:val="none"/>
          <w:lang w:val="en-US" w:eastAsia="zh-CN"/>
        </w:rPr>
      </w:pPr>
      <w:r>
        <w:rPr>
          <w:rFonts w:ascii="Tahoma" w:hAnsi="Tahoma" w:eastAsia="微软雅黑" w:cs="宋体"/>
          <w:color w:val="auto"/>
          <w:kern w:val="0"/>
          <w:sz w:val="22"/>
          <w:highlight w:val="none"/>
        </w:rPr>
        <w:br w:type="page"/>
      </w:r>
      <w:r>
        <w:rPr>
          <w:rFonts w:ascii="Times New Roman" w:hAnsi="Times New Roman" w:eastAsia="黑体" w:cs="Times New Roman"/>
          <w:color w:val="auto"/>
          <w:kern w:val="0"/>
          <w:sz w:val="32"/>
          <w:szCs w:val="32"/>
          <w:highlight w:val="none"/>
        </w:rPr>
        <w:t>附件</w:t>
      </w:r>
      <w:r>
        <w:rPr>
          <w:rFonts w:hint="eastAsia" w:ascii="Times New Roman" w:hAnsi="Times New Roman" w:eastAsia="黑体" w:cs="Times New Roman"/>
          <w:color w:val="auto"/>
          <w:kern w:val="0"/>
          <w:sz w:val="32"/>
          <w:szCs w:val="32"/>
          <w:highlight w:val="none"/>
          <w:lang w:val="en-US" w:eastAsia="zh-CN"/>
        </w:rPr>
        <w:t>2</w:t>
      </w:r>
    </w:p>
    <w:tbl>
      <w:tblPr>
        <w:tblStyle w:val="4"/>
        <w:tblpPr w:leftFromText="180" w:rightFromText="180" w:vertAnchor="page" w:horzAnchor="page" w:tblpX="1980" w:tblpY="2769"/>
        <w:tblOverlap w:val="never"/>
        <w:tblW w:w="9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75"/>
        <w:gridCol w:w="2100"/>
        <w:gridCol w:w="1944"/>
        <w:gridCol w:w="445"/>
        <w:gridCol w:w="1252"/>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9164" w:type="dxa"/>
            <w:gridSpan w:val="7"/>
            <w:noWrap/>
            <w:vAlign w:val="center"/>
          </w:tcPr>
          <w:p>
            <w:pPr>
              <w:widowControl/>
              <w:adjustRightInd w:val="0"/>
              <w:snapToGrid w:val="0"/>
              <w:spacing w:after="0"/>
              <w:jc w:val="center"/>
              <w:rPr>
                <w:rFonts w:hint="eastAsia" w:ascii="Times New Roman" w:hAnsi="Times New Roman" w:eastAsia="黑体" w:cs="Times New Roman"/>
                <w:color w:val="auto"/>
                <w:kern w:val="0"/>
                <w:sz w:val="32"/>
                <w:szCs w:val="32"/>
                <w:highlight w:val="none"/>
                <w:lang w:eastAsia="zh-CN"/>
              </w:rPr>
            </w:pPr>
            <w:r>
              <w:rPr>
                <w:rFonts w:ascii="Times New Roman" w:hAnsi="Times New Roman" w:eastAsia="黑体" w:cs="Times New Roman"/>
                <w:color w:val="auto"/>
                <w:kern w:val="0"/>
                <w:sz w:val="32"/>
                <w:szCs w:val="32"/>
                <w:highlight w:val="none"/>
              </w:rPr>
              <w:t>评估项目基本情况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301" w:type="dxa"/>
            <w:gridSpan w:val="2"/>
            <w:noWrap/>
            <w:vAlign w:val="center"/>
          </w:tcPr>
          <w:p>
            <w:pPr>
              <w:widowControl/>
              <w:adjustRightInd w:val="0"/>
              <w:snapToGrid w:val="0"/>
              <w:spacing w:after="0"/>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项目名称</w:t>
            </w:r>
          </w:p>
        </w:tc>
        <w:tc>
          <w:tcPr>
            <w:tcW w:w="6863" w:type="dxa"/>
            <w:gridSpan w:val="5"/>
            <w:noWrap/>
            <w:vAlign w:val="center"/>
          </w:tcPr>
          <w:p>
            <w:pPr>
              <w:widowControl/>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2301" w:type="dxa"/>
            <w:gridSpan w:val="2"/>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经济行为类型</w:t>
            </w:r>
          </w:p>
        </w:tc>
        <w:tc>
          <w:tcPr>
            <w:tcW w:w="2100" w:type="dxa"/>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p>
        </w:tc>
        <w:tc>
          <w:tcPr>
            <w:tcW w:w="2389" w:type="dxa"/>
            <w:gridSpan w:val="2"/>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评估对象</w:t>
            </w:r>
          </w:p>
        </w:tc>
        <w:tc>
          <w:tcPr>
            <w:tcW w:w="2374" w:type="dxa"/>
            <w:gridSpan w:val="2"/>
            <w:noWrap/>
            <w:vAlign w:val="center"/>
          </w:tcPr>
          <w:p>
            <w:pPr>
              <w:widowControl/>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2301" w:type="dxa"/>
            <w:gridSpan w:val="2"/>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评估机构名称</w:t>
            </w:r>
          </w:p>
        </w:tc>
        <w:tc>
          <w:tcPr>
            <w:tcW w:w="2100" w:type="dxa"/>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p>
        </w:tc>
        <w:tc>
          <w:tcPr>
            <w:tcW w:w="2389" w:type="dxa"/>
            <w:gridSpan w:val="2"/>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评估结论选用的</w:t>
            </w:r>
          </w:p>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评估方法</w:t>
            </w:r>
          </w:p>
        </w:tc>
        <w:tc>
          <w:tcPr>
            <w:tcW w:w="2374" w:type="dxa"/>
            <w:gridSpan w:val="2"/>
            <w:noWrap/>
            <w:vAlign w:val="center"/>
          </w:tcPr>
          <w:p>
            <w:pPr>
              <w:widowControl/>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2301" w:type="dxa"/>
            <w:gridSpan w:val="2"/>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签字评估师1</w:t>
            </w:r>
          </w:p>
        </w:tc>
        <w:tc>
          <w:tcPr>
            <w:tcW w:w="2100" w:type="dxa"/>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p>
        </w:tc>
        <w:tc>
          <w:tcPr>
            <w:tcW w:w="2389" w:type="dxa"/>
            <w:gridSpan w:val="2"/>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签字评估师2</w:t>
            </w:r>
          </w:p>
        </w:tc>
        <w:tc>
          <w:tcPr>
            <w:tcW w:w="2374" w:type="dxa"/>
            <w:gridSpan w:val="2"/>
            <w:noWrap/>
            <w:vAlign w:val="center"/>
          </w:tcPr>
          <w:p>
            <w:pPr>
              <w:widowControl/>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2301" w:type="dxa"/>
            <w:gridSpan w:val="2"/>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总资产账面值（万元）</w:t>
            </w:r>
          </w:p>
        </w:tc>
        <w:tc>
          <w:tcPr>
            <w:tcW w:w="2100" w:type="dxa"/>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p>
        </w:tc>
        <w:tc>
          <w:tcPr>
            <w:tcW w:w="2389" w:type="dxa"/>
            <w:gridSpan w:val="2"/>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净资产账面值</w:t>
            </w:r>
          </w:p>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（万元）</w:t>
            </w:r>
          </w:p>
        </w:tc>
        <w:tc>
          <w:tcPr>
            <w:tcW w:w="2374" w:type="dxa"/>
            <w:gridSpan w:val="2"/>
            <w:noWrap/>
            <w:vAlign w:val="center"/>
          </w:tcPr>
          <w:p>
            <w:pPr>
              <w:widowControl/>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2301" w:type="dxa"/>
            <w:gridSpan w:val="2"/>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净资产评估值（万元）</w:t>
            </w:r>
          </w:p>
        </w:tc>
        <w:tc>
          <w:tcPr>
            <w:tcW w:w="2100" w:type="dxa"/>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4"/>
                <w:highlight w:val="none"/>
              </w:rPr>
            </w:pPr>
          </w:p>
        </w:tc>
        <w:tc>
          <w:tcPr>
            <w:tcW w:w="2389" w:type="dxa"/>
            <w:gridSpan w:val="2"/>
            <w:noWrap/>
            <w:vAlign w:val="center"/>
          </w:tcPr>
          <w:p>
            <w:pPr>
              <w:widowControl/>
              <w:adjustRightInd w:val="0"/>
              <w:snapToGrid w:val="0"/>
              <w:spacing w:after="0" w:line="400" w:lineRule="exact"/>
              <w:jc w:val="center"/>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spacing w:val="0"/>
                <w:kern w:val="0"/>
                <w:sz w:val="28"/>
                <w:szCs w:val="28"/>
                <w:highlight w:val="none"/>
                <w:fitText w:val="2240" w:id="1134706131"/>
              </w:rPr>
              <w:t>净资产评估增值率</w:t>
            </w:r>
          </w:p>
        </w:tc>
        <w:tc>
          <w:tcPr>
            <w:tcW w:w="2374" w:type="dxa"/>
            <w:gridSpan w:val="2"/>
            <w:noWrap/>
            <w:vAlign w:val="center"/>
          </w:tcPr>
          <w:p>
            <w:pPr>
              <w:widowControl/>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9164" w:type="dxa"/>
            <w:gridSpan w:val="7"/>
            <w:noWrap/>
            <w:vAlign w:val="center"/>
          </w:tcPr>
          <w:p>
            <w:pPr>
              <w:widowControl/>
              <w:adjustRightInd w:val="0"/>
              <w:snapToGrid w:val="0"/>
              <w:spacing w:after="0"/>
              <w:jc w:val="center"/>
              <w:rPr>
                <w:rFonts w:ascii="Times New Roman" w:hAnsi="Times New Roman" w:eastAsia="黑体" w:cs="Times New Roman"/>
                <w:color w:val="auto"/>
                <w:kern w:val="0"/>
                <w:sz w:val="32"/>
                <w:szCs w:val="32"/>
                <w:highlight w:val="none"/>
              </w:rPr>
            </w:pPr>
            <w:r>
              <w:rPr>
                <w:rFonts w:ascii="Times New Roman" w:hAnsi="Times New Roman" w:eastAsia="黑体" w:cs="Times New Roman"/>
                <w:color w:val="auto"/>
                <w:kern w:val="0"/>
                <w:sz w:val="32"/>
                <w:szCs w:val="32"/>
                <w:highlight w:val="none"/>
              </w:rPr>
              <w:t>评估项目质量评价情况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26" w:type="dxa"/>
            <w:noWrap/>
            <w:vAlign w:val="center"/>
          </w:tcPr>
          <w:p>
            <w:pPr>
              <w:widowControl/>
              <w:adjustRightInd w:val="0"/>
              <w:snapToGrid w:val="0"/>
              <w:spacing w:after="0"/>
              <w:jc w:val="center"/>
              <w:rPr>
                <w:rFonts w:ascii="Times New Roman" w:hAnsi="Times New Roman" w:eastAsia="仿宋" w:cs="Times New Roman"/>
                <w:b/>
                <w:bCs/>
                <w:color w:val="auto"/>
                <w:kern w:val="0"/>
                <w:sz w:val="24"/>
                <w:highlight w:val="none"/>
              </w:rPr>
            </w:pPr>
            <w:r>
              <w:rPr>
                <w:rFonts w:ascii="Times New Roman" w:hAnsi="Times New Roman" w:eastAsia="仿宋" w:cs="Times New Roman"/>
                <w:b/>
                <w:bCs/>
                <w:color w:val="auto"/>
                <w:kern w:val="0"/>
                <w:sz w:val="24"/>
                <w:highlight w:val="none"/>
              </w:rPr>
              <w:t>评价主题</w:t>
            </w:r>
          </w:p>
        </w:tc>
        <w:tc>
          <w:tcPr>
            <w:tcW w:w="5519" w:type="dxa"/>
            <w:gridSpan w:val="3"/>
            <w:noWrap/>
            <w:vAlign w:val="center"/>
          </w:tcPr>
          <w:p>
            <w:pPr>
              <w:widowControl/>
              <w:adjustRightInd w:val="0"/>
              <w:snapToGrid w:val="0"/>
              <w:spacing w:after="0"/>
              <w:jc w:val="center"/>
              <w:rPr>
                <w:rFonts w:ascii="Times New Roman" w:hAnsi="Times New Roman" w:eastAsia="仿宋" w:cs="Times New Roman"/>
                <w:b/>
                <w:bCs/>
                <w:color w:val="auto"/>
                <w:kern w:val="0"/>
                <w:sz w:val="24"/>
                <w:highlight w:val="none"/>
              </w:rPr>
            </w:pPr>
            <w:r>
              <w:rPr>
                <w:rFonts w:ascii="Times New Roman" w:hAnsi="Times New Roman" w:eastAsia="仿宋" w:cs="Times New Roman"/>
                <w:b/>
                <w:bCs/>
                <w:color w:val="auto"/>
                <w:kern w:val="0"/>
                <w:sz w:val="24"/>
                <w:highlight w:val="none"/>
              </w:rPr>
              <w:t>评价内容</w:t>
            </w:r>
          </w:p>
        </w:tc>
        <w:tc>
          <w:tcPr>
            <w:tcW w:w="1697" w:type="dxa"/>
            <w:gridSpan w:val="2"/>
            <w:noWrap/>
            <w:vAlign w:val="center"/>
          </w:tcPr>
          <w:p>
            <w:pPr>
              <w:widowControl/>
              <w:adjustRightInd w:val="0"/>
              <w:snapToGrid w:val="0"/>
              <w:spacing w:after="0"/>
              <w:jc w:val="center"/>
              <w:rPr>
                <w:rFonts w:ascii="Times New Roman" w:hAnsi="Times New Roman" w:eastAsia="仿宋" w:cs="Times New Roman"/>
                <w:b/>
                <w:bCs/>
                <w:color w:val="auto"/>
                <w:kern w:val="0"/>
                <w:sz w:val="24"/>
                <w:highlight w:val="none"/>
              </w:rPr>
            </w:pPr>
            <w:r>
              <w:rPr>
                <w:rFonts w:ascii="Times New Roman" w:hAnsi="Times New Roman" w:eastAsia="仿宋" w:cs="Times New Roman"/>
                <w:b/>
                <w:bCs/>
                <w:color w:val="auto"/>
                <w:kern w:val="0"/>
                <w:sz w:val="24"/>
                <w:highlight w:val="none"/>
              </w:rPr>
              <w:t>评价标准</w:t>
            </w:r>
          </w:p>
        </w:tc>
        <w:tc>
          <w:tcPr>
            <w:tcW w:w="1122" w:type="dxa"/>
            <w:noWrap/>
            <w:vAlign w:val="center"/>
          </w:tcPr>
          <w:p>
            <w:pPr>
              <w:widowControl/>
              <w:adjustRightInd w:val="0"/>
              <w:snapToGrid w:val="0"/>
              <w:spacing w:after="0" w:line="280" w:lineRule="exact"/>
              <w:jc w:val="center"/>
              <w:rPr>
                <w:rFonts w:ascii="Times New Roman" w:hAnsi="Times New Roman" w:eastAsia="仿宋" w:cs="Times New Roman"/>
                <w:b/>
                <w:bCs/>
                <w:color w:val="auto"/>
                <w:kern w:val="0"/>
                <w:sz w:val="24"/>
                <w:highlight w:val="none"/>
              </w:rPr>
            </w:pPr>
            <w:r>
              <w:rPr>
                <w:rFonts w:ascii="Times New Roman" w:hAnsi="Times New Roman" w:eastAsia="仿宋" w:cs="Times New Roman"/>
                <w:b/>
                <w:bCs/>
                <w:color w:val="auto"/>
                <w:kern w:val="0"/>
                <w:sz w:val="24"/>
                <w:highlight w:val="none"/>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26" w:type="dxa"/>
            <w:vMerge w:val="restart"/>
            <w:noWrap/>
            <w:vAlign w:val="center"/>
          </w:tcPr>
          <w:p>
            <w:pPr>
              <w:widowControl/>
              <w:adjustRightInd w:val="0"/>
              <w:snapToGrid w:val="0"/>
              <w:spacing w:after="0"/>
              <w:jc w:val="center"/>
              <w:rPr>
                <w:rFonts w:ascii="Times New Roman" w:hAnsi="Times New Roman" w:eastAsia="黑体" w:cs="Times New Roman"/>
                <w:color w:val="auto"/>
                <w:kern w:val="0"/>
                <w:sz w:val="24"/>
                <w:highlight w:val="none"/>
              </w:rPr>
            </w:pPr>
            <w:r>
              <w:rPr>
                <w:rFonts w:ascii="Times New Roman" w:hAnsi="Times New Roman" w:eastAsia="黑体" w:cs="Times New Roman"/>
                <w:color w:val="auto"/>
                <w:kern w:val="0"/>
                <w:sz w:val="24"/>
                <w:highlight w:val="none"/>
              </w:rPr>
              <w:t>服务质量评价（20分）</w:t>
            </w:r>
          </w:p>
        </w:tc>
        <w:tc>
          <w:tcPr>
            <w:tcW w:w="5519" w:type="dxa"/>
            <w:gridSpan w:val="3"/>
            <w:noWrap/>
            <w:vAlign w:val="center"/>
          </w:tcPr>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项目团队配置情况（2分）</w:t>
            </w:r>
          </w:p>
        </w:tc>
        <w:tc>
          <w:tcPr>
            <w:tcW w:w="1697" w:type="dxa"/>
            <w:gridSpan w:val="2"/>
            <w:noWrap/>
            <w:vAlign w:val="center"/>
          </w:tcPr>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优秀</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2分</w:t>
            </w:r>
          </w:p>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1分</w:t>
            </w:r>
          </w:p>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0分</w:t>
            </w:r>
          </w:p>
        </w:tc>
        <w:tc>
          <w:tcPr>
            <w:tcW w:w="1122" w:type="dxa"/>
            <w:noWrap/>
            <w:vAlign w:val="top"/>
          </w:tcPr>
          <w:p>
            <w:pPr>
              <w:widowControl/>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6" w:type="dxa"/>
            <w:vMerge w:val="continue"/>
            <w:noWrap/>
            <w:vAlign w:val="center"/>
          </w:tcPr>
          <w:p>
            <w:pPr>
              <w:widowControl/>
              <w:adjustRightInd w:val="0"/>
              <w:snapToGrid w:val="0"/>
              <w:spacing w:after="0"/>
              <w:jc w:val="center"/>
              <w:rPr>
                <w:rFonts w:ascii="Times New Roman" w:hAnsi="Times New Roman" w:eastAsia="黑体" w:cs="Times New Roman"/>
                <w:color w:val="auto"/>
                <w:kern w:val="0"/>
                <w:sz w:val="24"/>
                <w:highlight w:val="none"/>
              </w:rPr>
            </w:pPr>
          </w:p>
        </w:tc>
        <w:tc>
          <w:tcPr>
            <w:tcW w:w="5519" w:type="dxa"/>
            <w:gridSpan w:val="3"/>
            <w:noWrap/>
            <w:vAlign w:val="center"/>
          </w:tcPr>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项目团队工作态度、项目负责人沟通协调能力。（3分）</w:t>
            </w:r>
          </w:p>
        </w:tc>
        <w:tc>
          <w:tcPr>
            <w:tcW w:w="1697" w:type="dxa"/>
            <w:gridSpan w:val="2"/>
            <w:noWrap/>
            <w:vAlign w:val="center"/>
          </w:tcPr>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优秀</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3分</w:t>
            </w:r>
          </w:p>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2分</w:t>
            </w:r>
          </w:p>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0分</w:t>
            </w:r>
          </w:p>
        </w:tc>
        <w:tc>
          <w:tcPr>
            <w:tcW w:w="1122" w:type="dxa"/>
            <w:noWrap/>
            <w:vAlign w:val="top"/>
          </w:tcPr>
          <w:p>
            <w:pPr>
              <w:widowControl/>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26" w:type="dxa"/>
            <w:vMerge w:val="continue"/>
            <w:noWrap/>
            <w:vAlign w:val="center"/>
          </w:tcPr>
          <w:p>
            <w:pPr>
              <w:widowControl/>
              <w:adjustRightInd w:val="0"/>
              <w:snapToGrid w:val="0"/>
              <w:spacing w:after="0"/>
              <w:jc w:val="center"/>
              <w:rPr>
                <w:rFonts w:ascii="Times New Roman" w:hAnsi="Times New Roman" w:eastAsia="黑体" w:cs="Times New Roman"/>
                <w:color w:val="auto"/>
                <w:kern w:val="0"/>
                <w:sz w:val="24"/>
                <w:highlight w:val="none"/>
              </w:rPr>
            </w:pPr>
          </w:p>
        </w:tc>
        <w:tc>
          <w:tcPr>
            <w:tcW w:w="5519" w:type="dxa"/>
            <w:gridSpan w:val="3"/>
            <w:noWrap/>
            <w:vAlign w:val="center"/>
          </w:tcPr>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项目方案设计、计划安排情况。（</w:t>
            </w:r>
            <w:r>
              <w:rPr>
                <w:rFonts w:hint="eastAsia" w:ascii="Times New Roman" w:hAnsi="Times New Roman" w:eastAsia="仿宋" w:cs="Times New Roman"/>
                <w:color w:val="auto"/>
                <w:kern w:val="0"/>
                <w:sz w:val="24"/>
                <w:highlight w:val="none"/>
                <w:lang w:val="en-US" w:eastAsia="zh-CN"/>
              </w:rPr>
              <w:t>2</w:t>
            </w:r>
            <w:r>
              <w:rPr>
                <w:rFonts w:ascii="Times New Roman" w:hAnsi="Times New Roman" w:eastAsia="仿宋" w:cs="Times New Roman"/>
                <w:color w:val="auto"/>
                <w:kern w:val="0"/>
                <w:sz w:val="24"/>
                <w:highlight w:val="none"/>
              </w:rPr>
              <w:t>分）</w:t>
            </w:r>
          </w:p>
        </w:tc>
        <w:tc>
          <w:tcPr>
            <w:tcW w:w="1697" w:type="dxa"/>
            <w:gridSpan w:val="2"/>
            <w:noWrap/>
            <w:vAlign w:val="center"/>
          </w:tcPr>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优秀</w:t>
            </w:r>
            <w:r>
              <w:rPr>
                <w:rFonts w:hint="eastAsia" w:ascii="Times New Roman" w:hAnsi="Times New Roman" w:eastAsia="仿宋" w:cs="Times New Roman"/>
                <w:color w:val="auto"/>
                <w:kern w:val="0"/>
                <w:sz w:val="24"/>
                <w:highlight w:val="none"/>
                <w:lang w:eastAsia="zh-CN"/>
              </w:rPr>
              <w:t>：</w:t>
            </w:r>
            <w:r>
              <w:rPr>
                <w:rFonts w:hint="eastAsia" w:ascii="Times New Roman" w:hAnsi="Times New Roman" w:eastAsia="仿宋" w:cs="Times New Roman"/>
                <w:color w:val="auto"/>
                <w:kern w:val="0"/>
                <w:sz w:val="24"/>
                <w:highlight w:val="none"/>
                <w:lang w:val="en-US" w:eastAsia="zh-CN"/>
              </w:rPr>
              <w:t>2</w:t>
            </w:r>
            <w:r>
              <w:rPr>
                <w:rFonts w:ascii="Times New Roman" w:hAnsi="Times New Roman" w:eastAsia="仿宋" w:cs="Times New Roman"/>
                <w:color w:val="auto"/>
                <w:kern w:val="0"/>
                <w:sz w:val="24"/>
                <w:highlight w:val="none"/>
              </w:rPr>
              <w:t>分</w:t>
            </w:r>
          </w:p>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1分</w:t>
            </w:r>
          </w:p>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0分</w:t>
            </w:r>
          </w:p>
        </w:tc>
        <w:tc>
          <w:tcPr>
            <w:tcW w:w="1122" w:type="dxa"/>
            <w:noWrap/>
            <w:vAlign w:val="top"/>
          </w:tcPr>
          <w:p>
            <w:pPr>
              <w:widowControl/>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26" w:type="dxa"/>
            <w:vMerge w:val="continue"/>
            <w:noWrap/>
            <w:vAlign w:val="center"/>
          </w:tcPr>
          <w:p>
            <w:pPr>
              <w:widowControl/>
              <w:adjustRightInd w:val="0"/>
              <w:snapToGrid w:val="0"/>
              <w:spacing w:after="0"/>
              <w:jc w:val="center"/>
              <w:rPr>
                <w:rFonts w:ascii="Times New Roman" w:hAnsi="Times New Roman" w:eastAsia="黑体" w:cs="Times New Roman"/>
                <w:color w:val="auto"/>
                <w:kern w:val="0"/>
                <w:sz w:val="24"/>
                <w:highlight w:val="none"/>
              </w:rPr>
            </w:pPr>
          </w:p>
        </w:tc>
        <w:tc>
          <w:tcPr>
            <w:tcW w:w="5519" w:type="dxa"/>
            <w:gridSpan w:val="3"/>
            <w:noWrap/>
            <w:vAlign w:val="center"/>
          </w:tcPr>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评估人员对评估对象实施全面的评估核查程序，如各类资产实地调查、函证、查询、访谈等工作的尽责情况。（5分）</w:t>
            </w:r>
          </w:p>
        </w:tc>
        <w:tc>
          <w:tcPr>
            <w:tcW w:w="1697" w:type="dxa"/>
            <w:gridSpan w:val="2"/>
            <w:noWrap/>
            <w:vAlign w:val="center"/>
          </w:tcPr>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优秀</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4</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5分</w:t>
            </w:r>
          </w:p>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3分</w:t>
            </w:r>
          </w:p>
          <w:p>
            <w:pPr>
              <w:widowControl/>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0-1分</w:t>
            </w:r>
          </w:p>
        </w:tc>
        <w:tc>
          <w:tcPr>
            <w:tcW w:w="1122" w:type="dxa"/>
            <w:noWrap/>
            <w:vAlign w:val="top"/>
          </w:tcPr>
          <w:p>
            <w:pPr>
              <w:widowControl/>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26" w:type="dxa"/>
            <w:vMerge w:val="continue"/>
            <w:noWrap/>
            <w:vAlign w:val="top"/>
          </w:tcPr>
          <w:p>
            <w:pPr>
              <w:widowControl/>
              <w:adjustRightInd w:val="0"/>
              <w:snapToGrid w:val="0"/>
              <w:spacing w:after="0"/>
              <w:jc w:val="center"/>
              <w:rPr>
                <w:rFonts w:ascii="Times New Roman" w:hAnsi="Times New Roman" w:eastAsia="黑体" w:cs="Times New Roman"/>
                <w:color w:val="auto"/>
                <w:kern w:val="0"/>
                <w:sz w:val="24"/>
                <w:highlight w:val="none"/>
              </w:rPr>
            </w:pPr>
          </w:p>
        </w:tc>
        <w:tc>
          <w:tcPr>
            <w:tcW w:w="5519" w:type="dxa"/>
            <w:gridSpan w:val="3"/>
            <w:noWrap/>
            <w:vAlign w:val="center"/>
          </w:tcPr>
          <w:p>
            <w:pPr>
              <w:widowControl/>
              <w:adjustRightInd w:val="0"/>
              <w:snapToGrid w:val="0"/>
              <w:spacing w:after="0"/>
              <w:jc w:val="left"/>
              <w:rPr>
                <w:rFonts w:ascii="Times New Roman" w:hAnsi="Times New Roman" w:eastAsia="黑体" w:cs="Times New Roman"/>
                <w:color w:val="auto"/>
                <w:kern w:val="0"/>
                <w:sz w:val="24"/>
                <w:highlight w:val="none"/>
              </w:rPr>
            </w:pPr>
            <w:r>
              <w:rPr>
                <w:rFonts w:ascii="Times New Roman" w:hAnsi="Times New Roman" w:eastAsia="仿宋" w:cs="Times New Roman"/>
                <w:color w:val="auto"/>
                <w:kern w:val="0"/>
                <w:sz w:val="24"/>
                <w:highlight w:val="none"/>
              </w:rPr>
              <w:t>出具评估报告的及时性</w:t>
            </w:r>
            <w:r>
              <w:rPr>
                <w:rFonts w:ascii="Times New Roman" w:hAnsi="Times New Roman" w:eastAsia="黑体" w:cs="Times New Roman"/>
                <w:color w:val="auto"/>
                <w:kern w:val="0"/>
                <w:sz w:val="24"/>
                <w:highlight w:val="none"/>
              </w:rPr>
              <w:t>。</w:t>
            </w:r>
            <w:r>
              <w:rPr>
                <w:rFonts w:ascii="Times New Roman" w:hAnsi="Times New Roman" w:eastAsia="仿宋" w:cs="Times New Roman"/>
                <w:color w:val="auto"/>
                <w:kern w:val="0"/>
                <w:sz w:val="24"/>
                <w:highlight w:val="none"/>
              </w:rPr>
              <w:t>（2分）</w:t>
            </w:r>
          </w:p>
        </w:tc>
        <w:tc>
          <w:tcPr>
            <w:tcW w:w="1697" w:type="dxa"/>
            <w:gridSpan w:val="2"/>
            <w:noWrap/>
            <w:vAlign w:val="center"/>
          </w:tcPr>
          <w:p>
            <w:pPr>
              <w:widowControl/>
              <w:adjustRightInd w:val="0"/>
              <w:snapToGrid w:val="0"/>
              <w:spacing w:after="0" w:line="280" w:lineRule="exact"/>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及时</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2分</w:t>
            </w:r>
          </w:p>
          <w:p>
            <w:pPr>
              <w:widowControl/>
              <w:adjustRightInd w:val="0"/>
              <w:snapToGrid w:val="0"/>
              <w:spacing w:after="0" w:line="280" w:lineRule="exact"/>
              <w:jc w:val="left"/>
              <w:rPr>
                <w:rFonts w:ascii="Times New Roman" w:hAnsi="Times New Roman" w:eastAsia="黑体" w:cs="Times New Roman"/>
                <w:color w:val="auto"/>
                <w:kern w:val="0"/>
                <w:sz w:val="32"/>
                <w:szCs w:val="32"/>
                <w:highlight w:val="none"/>
              </w:rPr>
            </w:pPr>
            <w:r>
              <w:rPr>
                <w:rFonts w:ascii="Times New Roman" w:hAnsi="Times New Roman" w:eastAsia="仿宋" w:cs="Times New Roman"/>
                <w:color w:val="auto"/>
                <w:kern w:val="0"/>
                <w:sz w:val="24"/>
                <w:highlight w:val="none"/>
              </w:rPr>
              <w:t>不及时</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0分</w:t>
            </w:r>
          </w:p>
        </w:tc>
        <w:tc>
          <w:tcPr>
            <w:tcW w:w="1122" w:type="dxa"/>
            <w:noWrap/>
            <w:vAlign w:val="top"/>
          </w:tcPr>
          <w:p>
            <w:pPr>
              <w:widowControl/>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26" w:type="dxa"/>
            <w:vMerge w:val="continue"/>
            <w:noWrap/>
            <w:vAlign w:val="top"/>
          </w:tcPr>
          <w:p>
            <w:pPr>
              <w:widowControl/>
              <w:adjustRightInd w:val="0"/>
              <w:snapToGrid w:val="0"/>
              <w:spacing w:after="0"/>
              <w:jc w:val="center"/>
              <w:rPr>
                <w:rFonts w:ascii="Times New Roman" w:hAnsi="Times New Roman" w:eastAsia="黑体" w:cs="Times New Roman"/>
                <w:color w:val="auto"/>
                <w:kern w:val="0"/>
                <w:sz w:val="24"/>
                <w:highlight w:val="none"/>
              </w:rPr>
            </w:pPr>
          </w:p>
        </w:tc>
        <w:tc>
          <w:tcPr>
            <w:tcW w:w="5519" w:type="dxa"/>
            <w:gridSpan w:val="3"/>
            <w:noWrap/>
            <w:vAlign w:val="center"/>
          </w:tcPr>
          <w:p>
            <w:pPr>
              <w:widowControl/>
              <w:adjustRightInd w:val="0"/>
              <w:snapToGrid w:val="0"/>
              <w:spacing w:after="0"/>
              <w:jc w:val="left"/>
              <w:rPr>
                <w:rFonts w:ascii="Times New Roman" w:hAnsi="Times New Roman" w:eastAsia="黑体" w:cs="Times New Roman"/>
                <w:color w:val="auto"/>
                <w:kern w:val="0"/>
                <w:sz w:val="24"/>
                <w:highlight w:val="none"/>
              </w:rPr>
            </w:pPr>
            <w:r>
              <w:rPr>
                <w:rFonts w:ascii="Times New Roman" w:hAnsi="Times New Roman" w:eastAsia="仿宋" w:cs="Times New Roman"/>
                <w:color w:val="auto"/>
                <w:kern w:val="0"/>
                <w:sz w:val="24"/>
                <w:highlight w:val="none"/>
              </w:rPr>
              <w:t>审核意见答复及时性及质量</w:t>
            </w:r>
            <w:r>
              <w:rPr>
                <w:rFonts w:ascii="Times New Roman" w:hAnsi="Times New Roman" w:eastAsia="黑体" w:cs="Times New Roman"/>
                <w:color w:val="auto"/>
                <w:kern w:val="0"/>
                <w:sz w:val="24"/>
                <w:highlight w:val="none"/>
              </w:rPr>
              <w:t>。</w:t>
            </w:r>
            <w:r>
              <w:rPr>
                <w:rFonts w:ascii="Times New Roman" w:hAnsi="Times New Roman" w:eastAsia="仿宋" w:cs="Times New Roman"/>
                <w:color w:val="auto"/>
                <w:kern w:val="0"/>
                <w:sz w:val="24"/>
                <w:highlight w:val="none"/>
              </w:rPr>
              <w:t>（5分）</w:t>
            </w:r>
          </w:p>
        </w:tc>
        <w:tc>
          <w:tcPr>
            <w:tcW w:w="1697" w:type="dxa"/>
            <w:gridSpan w:val="2"/>
            <w:noWrap/>
            <w:vAlign w:val="center"/>
          </w:tcPr>
          <w:p>
            <w:pPr>
              <w:widowControl/>
              <w:adjustRightInd w:val="0"/>
              <w:snapToGrid w:val="0"/>
              <w:spacing w:after="0" w:line="280" w:lineRule="exact"/>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优秀</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4</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5分</w:t>
            </w:r>
          </w:p>
          <w:p>
            <w:pPr>
              <w:widowControl/>
              <w:adjustRightInd w:val="0"/>
              <w:snapToGrid w:val="0"/>
              <w:spacing w:after="0" w:line="280" w:lineRule="exact"/>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3分</w:t>
            </w:r>
          </w:p>
          <w:p>
            <w:pPr>
              <w:widowControl/>
              <w:adjustRightInd w:val="0"/>
              <w:snapToGrid w:val="0"/>
              <w:spacing w:after="0" w:line="280" w:lineRule="exact"/>
              <w:jc w:val="left"/>
              <w:rPr>
                <w:rFonts w:ascii="Times New Roman" w:hAnsi="Times New Roman" w:eastAsia="黑体" w:cs="Times New Roman"/>
                <w:color w:val="auto"/>
                <w:kern w:val="0"/>
                <w:sz w:val="32"/>
                <w:szCs w:val="32"/>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0-1分</w:t>
            </w:r>
          </w:p>
        </w:tc>
        <w:tc>
          <w:tcPr>
            <w:tcW w:w="1122" w:type="dxa"/>
            <w:noWrap/>
            <w:vAlign w:val="top"/>
          </w:tcPr>
          <w:p>
            <w:pPr>
              <w:widowControl/>
              <w:adjustRightInd w:val="0"/>
              <w:snapToGrid w:val="0"/>
              <w:spacing w:after="0"/>
              <w:jc w:val="center"/>
              <w:rPr>
                <w:rFonts w:ascii="Times New Roman" w:hAnsi="Times New Roman" w:eastAsia="黑体" w:cs="Times New Roman"/>
                <w:color w:val="auto"/>
                <w:kern w:val="0"/>
                <w:sz w:val="32"/>
                <w:szCs w:val="32"/>
                <w:highlight w:val="none"/>
              </w:rPr>
            </w:pPr>
          </w:p>
        </w:tc>
      </w:tr>
    </w:tbl>
    <w:p>
      <w:pPr>
        <w:widowControl/>
        <w:adjustRightInd w:val="0"/>
        <w:snapToGrid w:val="0"/>
        <w:spacing w:after="0"/>
        <w:jc w:val="center"/>
        <w:rPr>
          <w:rFonts w:hint="eastAsia" w:ascii="Times New Roman" w:hAnsi="Times New Roman" w:eastAsia="方正小标宋简体" w:cs="Times New Roman"/>
          <w:color w:val="auto"/>
          <w:kern w:val="0"/>
          <w:sz w:val="36"/>
          <w:szCs w:val="36"/>
          <w:highlight w:val="none"/>
          <w:lang w:eastAsia="zh-CN"/>
        </w:rPr>
      </w:pPr>
      <w:r>
        <w:rPr>
          <w:rFonts w:ascii="Times New Roman" w:hAnsi="Times New Roman" w:eastAsia="方正小标宋简体" w:cs="Times New Roman"/>
          <w:color w:val="auto"/>
          <w:kern w:val="0"/>
          <w:sz w:val="44"/>
          <w:szCs w:val="44"/>
          <w:highlight w:val="none"/>
        </w:rPr>
        <w:t>评估机构执业质量评价表</w:t>
      </w:r>
      <w:r>
        <w:rPr>
          <w:rFonts w:hint="eastAsia" w:ascii="Times New Roman" w:hAnsi="Times New Roman" w:eastAsia="方正小标宋简体" w:cs="Times New Roman"/>
          <w:color w:val="auto"/>
          <w:kern w:val="0"/>
          <w:sz w:val="36"/>
          <w:szCs w:val="36"/>
          <w:highlight w:val="none"/>
          <w:lang w:eastAsia="zh-CN"/>
        </w:rPr>
        <w:t>（部分资产评估项目）</w:t>
      </w:r>
    </w:p>
    <w:tbl>
      <w:tblPr>
        <w:tblStyle w:val="4"/>
        <w:tblW w:w="8762"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53"/>
        <w:gridCol w:w="3038"/>
        <w:gridCol w:w="871"/>
        <w:gridCol w:w="471"/>
        <w:gridCol w:w="1493"/>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Merge w:val="restart"/>
            <w:noWrap/>
            <w:vAlign w:val="center"/>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r>
              <w:rPr>
                <w:rFonts w:ascii="Times New Roman" w:hAnsi="Times New Roman" w:eastAsia="黑体" w:cs="Times New Roman"/>
                <w:color w:val="auto"/>
                <w:kern w:val="0"/>
                <w:sz w:val="24"/>
                <w:highlight w:val="none"/>
              </w:rPr>
              <w:t>评估报告质量评价（80分）</w:t>
            </w:r>
          </w:p>
        </w:tc>
        <w:tc>
          <w:tcPr>
            <w:tcW w:w="1353" w:type="dxa"/>
            <w:vMerge w:val="restart"/>
            <w:noWrap/>
            <w:vAlign w:val="center"/>
          </w:tcPr>
          <w:p>
            <w:pPr>
              <w:widowControl w:val="0"/>
              <w:adjustRightInd w:val="0"/>
              <w:snapToGrid w:val="0"/>
              <w:spacing w:after="0"/>
              <w:jc w:val="left"/>
              <w:rPr>
                <w:rFonts w:ascii="Times New Roman" w:hAnsi="Times New Roman" w:eastAsia="仿宋" w:cs="Times New Roman"/>
                <w:color w:val="auto"/>
                <w:kern w:val="0"/>
                <w:sz w:val="28"/>
                <w:szCs w:val="28"/>
                <w:highlight w:val="none"/>
              </w:rPr>
            </w:pPr>
            <w:r>
              <w:rPr>
                <w:rFonts w:ascii="Times New Roman" w:hAnsi="Times New Roman" w:eastAsia="黑体" w:cs="Times New Roman"/>
                <w:color w:val="auto"/>
                <w:kern w:val="0"/>
                <w:sz w:val="24"/>
                <w:highlight w:val="none"/>
              </w:rPr>
              <w:t>评估报告内容的完整性、合理性（22分）</w:t>
            </w:r>
          </w:p>
        </w:tc>
        <w:tc>
          <w:tcPr>
            <w:tcW w:w="3909"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评估报告、评估说明、评估明细表、利用专业报告</w:t>
            </w:r>
            <w:r>
              <w:rPr>
                <w:rFonts w:hint="eastAsia" w:ascii="Times New Roman" w:hAnsi="Times New Roman" w:eastAsia="仿宋" w:cs="Times New Roman"/>
                <w:color w:val="auto"/>
                <w:kern w:val="0"/>
                <w:sz w:val="24"/>
                <w:highlight w:val="none"/>
                <w:lang w:eastAsia="zh-CN"/>
              </w:rPr>
              <w:t>等</w:t>
            </w:r>
            <w:r>
              <w:rPr>
                <w:rFonts w:ascii="Times New Roman" w:hAnsi="Times New Roman" w:eastAsia="仿宋" w:cs="Times New Roman"/>
                <w:color w:val="auto"/>
                <w:kern w:val="0"/>
                <w:sz w:val="24"/>
                <w:highlight w:val="none"/>
              </w:rPr>
              <w:t>是否齐全。（2分）</w:t>
            </w:r>
          </w:p>
        </w:tc>
        <w:tc>
          <w:tcPr>
            <w:tcW w:w="1964"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完整</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2分</w:t>
            </w:r>
          </w:p>
          <w:p>
            <w:pPr>
              <w:widowControl w:val="0"/>
              <w:adjustRightInd w:val="0"/>
              <w:snapToGrid w:val="0"/>
              <w:spacing w:after="0"/>
              <w:jc w:val="left"/>
              <w:rPr>
                <w:rFonts w:ascii="Times New Roman" w:hAnsi="Times New Roman" w:eastAsia="黑体" w:cs="Times New Roman"/>
                <w:color w:val="auto"/>
                <w:kern w:val="0"/>
                <w:sz w:val="32"/>
                <w:szCs w:val="32"/>
                <w:highlight w:val="none"/>
              </w:rPr>
            </w:pPr>
            <w:r>
              <w:rPr>
                <w:rFonts w:ascii="Times New Roman" w:hAnsi="Times New Roman" w:eastAsia="仿宋" w:cs="Times New Roman"/>
                <w:color w:val="auto"/>
                <w:kern w:val="0"/>
                <w:sz w:val="24"/>
                <w:highlight w:val="none"/>
              </w:rPr>
              <w:t>不完整</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0-1分</w:t>
            </w:r>
          </w:p>
        </w:tc>
        <w:tc>
          <w:tcPr>
            <w:tcW w:w="699" w:type="dxa"/>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Merge w:val="continue"/>
            <w:noWrap/>
            <w:vAlign w:val="center"/>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c>
          <w:tcPr>
            <w:tcW w:w="1353" w:type="dxa"/>
            <w:vMerge w:val="continue"/>
            <w:noWrap/>
            <w:vAlign w:val="center"/>
          </w:tcPr>
          <w:p>
            <w:pPr>
              <w:widowControl w:val="0"/>
              <w:adjustRightInd w:val="0"/>
              <w:snapToGrid w:val="0"/>
              <w:spacing w:after="0"/>
              <w:jc w:val="left"/>
              <w:rPr>
                <w:rFonts w:ascii="Times New Roman" w:hAnsi="Times New Roman" w:eastAsia="仿宋" w:cs="Times New Roman"/>
                <w:color w:val="auto"/>
                <w:kern w:val="0"/>
                <w:sz w:val="28"/>
                <w:szCs w:val="28"/>
                <w:highlight w:val="none"/>
              </w:rPr>
            </w:pPr>
          </w:p>
        </w:tc>
        <w:tc>
          <w:tcPr>
            <w:tcW w:w="3909"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评估报告内容是否包含：声明、摘要、正文、附件等内容，签字盖章是否完整，附件是否完整，包括经济行为决策文件、审计报告、企业营业执照、企业产权登记证、委托方及被评估企业承诺函、相关资产权属证明文件、评估师承诺函、评估机构备案公告、营业执照、评估师资质证明、委托合同等内容。（4分）</w:t>
            </w:r>
          </w:p>
        </w:tc>
        <w:tc>
          <w:tcPr>
            <w:tcW w:w="1964"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完整</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4分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3分</w:t>
            </w:r>
          </w:p>
          <w:p>
            <w:pPr>
              <w:widowControl w:val="0"/>
              <w:adjustRightInd w:val="0"/>
              <w:snapToGrid w:val="0"/>
              <w:spacing w:after="0"/>
              <w:jc w:val="left"/>
              <w:rPr>
                <w:rFonts w:ascii="Times New Roman" w:hAnsi="Times New Roman" w:eastAsia="黑体" w:cs="Times New Roman"/>
                <w:color w:val="auto"/>
                <w:kern w:val="0"/>
                <w:sz w:val="32"/>
                <w:szCs w:val="32"/>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0-1分</w:t>
            </w:r>
          </w:p>
        </w:tc>
        <w:tc>
          <w:tcPr>
            <w:tcW w:w="699" w:type="dxa"/>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Merge w:val="continue"/>
            <w:noWrap/>
            <w:vAlign w:val="center"/>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c>
          <w:tcPr>
            <w:tcW w:w="1353" w:type="dxa"/>
            <w:vMerge w:val="continue"/>
            <w:noWrap/>
            <w:vAlign w:val="top"/>
          </w:tcPr>
          <w:p>
            <w:pPr>
              <w:widowControl w:val="0"/>
              <w:adjustRightInd w:val="0"/>
              <w:snapToGrid w:val="0"/>
              <w:spacing w:after="0"/>
              <w:jc w:val="left"/>
              <w:rPr>
                <w:rFonts w:ascii="Times New Roman" w:hAnsi="Times New Roman" w:eastAsia="仿宋" w:cs="Times New Roman"/>
                <w:color w:val="auto"/>
                <w:kern w:val="0"/>
                <w:sz w:val="28"/>
                <w:szCs w:val="28"/>
                <w:highlight w:val="none"/>
              </w:rPr>
            </w:pPr>
          </w:p>
        </w:tc>
        <w:tc>
          <w:tcPr>
            <w:tcW w:w="3909"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评估方法的选取是否合理，</w:t>
            </w:r>
            <w:r>
              <w:rPr>
                <w:rFonts w:hint="eastAsia" w:ascii="Times New Roman" w:hAnsi="Times New Roman" w:eastAsia="仿宋" w:cs="Times New Roman"/>
                <w:color w:val="auto"/>
                <w:kern w:val="0"/>
                <w:sz w:val="24"/>
                <w:highlight w:val="none"/>
                <w:lang w:eastAsia="zh-CN"/>
              </w:rPr>
              <w:t>重大资产如房地产</w:t>
            </w:r>
            <w:r>
              <w:rPr>
                <w:rFonts w:ascii="Times New Roman" w:hAnsi="Times New Roman" w:eastAsia="仿宋" w:cs="Times New Roman"/>
                <w:color w:val="auto"/>
                <w:kern w:val="0"/>
                <w:sz w:val="24"/>
                <w:highlight w:val="none"/>
              </w:rPr>
              <w:t>是否采用两种方法进行评估，如果只采用一种评估方法，理由是否充分合理。（4分）</w:t>
            </w:r>
          </w:p>
        </w:tc>
        <w:tc>
          <w:tcPr>
            <w:tcW w:w="1964"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合理</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4分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理由不充分</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0-2分</w:t>
            </w:r>
          </w:p>
          <w:p>
            <w:pPr>
              <w:widowControl w:val="0"/>
              <w:adjustRightInd w:val="0"/>
              <w:snapToGrid w:val="0"/>
              <w:spacing w:after="0"/>
              <w:jc w:val="left"/>
              <w:rPr>
                <w:rFonts w:ascii="Times New Roman" w:hAnsi="Times New Roman" w:eastAsia="黑体" w:cs="Times New Roman"/>
                <w:color w:val="auto"/>
                <w:kern w:val="0"/>
                <w:sz w:val="32"/>
                <w:szCs w:val="32"/>
                <w:highlight w:val="none"/>
              </w:rPr>
            </w:pPr>
            <w:r>
              <w:rPr>
                <w:rFonts w:ascii="Times New Roman" w:hAnsi="Times New Roman" w:eastAsia="仿宋" w:cs="Times New Roman"/>
                <w:color w:val="auto"/>
                <w:kern w:val="0"/>
                <w:sz w:val="24"/>
                <w:highlight w:val="none"/>
              </w:rPr>
              <w:t>不合理</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0分</w:t>
            </w:r>
          </w:p>
        </w:tc>
        <w:tc>
          <w:tcPr>
            <w:tcW w:w="699" w:type="dxa"/>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Merge w:val="continue"/>
            <w:noWrap/>
            <w:vAlign w:val="center"/>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c>
          <w:tcPr>
            <w:tcW w:w="1353" w:type="dxa"/>
            <w:vMerge w:val="continue"/>
            <w:noWrap/>
            <w:vAlign w:val="top"/>
          </w:tcPr>
          <w:p>
            <w:pPr>
              <w:widowControl w:val="0"/>
              <w:adjustRightInd w:val="0"/>
              <w:snapToGrid w:val="0"/>
              <w:spacing w:after="0"/>
              <w:jc w:val="left"/>
              <w:rPr>
                <w:rFonts w:ascii="Times New Roman" w:hAnsi="Times New Roman" w:eastAsia="仿宋" w:cs="Times New Roman"/>
                <w:color w:val="auto"/>
                <w:kern w:val="0"/>
                <w:sz w:val="28"/>
                <w:szCs w:val="28"/>
                <w:highlight w:val="none"/>
              </w:rPr>
            </w:pPr>
          </w:p>
        </w:tc>
        <w:tc>
          <w:tcPr>
            <w:tcW w:w="3909"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评估程序是否履行到位，是否存在核查评估范围不够尽责，遗漏资产情况，是否存在评估程序受限制情况，如果存在，是否实施了替代程序，对评估结果是否有重大影响。（4分）</w:t>
            </w:r>
          </w:p>
        </w:tc>
        <w:tc>
          <w:tcPr>
            <w:tcW w:w="1964"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优秀</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4分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3分</w:t>
            </w:r>
          </w:p>
          <w:p>
            <w:pPr>
              <w:widowControl w:val="0"/>
              <w:adjustRightInd w:val="0"/>
              <w:snapToGrid w:val="0"/>
              <w:spacing w:after="0"/>
              <w:jc w:val="left"/>
              <w:rPr>
                <w:rFonts w:ascii="Times New Roman" w:hAnsi="Times New Roman" w:eastAsia="黑体" w:cs="Times New Roman"/>
                <w:color w:val="auto"/>
                <w:kern w:val="0"/>
                <w:sz w:val="32"/>
                <w:szCs w:val="32"/>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0-1分</w:t>
            </w:r>
          </w:p>
        </w:tc>
        <w:tc>
          <w:tcPr>
            <w:tcW w:w="699" w:type="dxa"/>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Merge w:val="continue"/>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c>
          <w:tcPr>
            <w:tcW w:w="1353" w:type="dxa"/>
            <w:vMerge w:val="continue"/>
            <w:noWrap/>
            <w:vAlign w:val="top"/>
          </w:tcPr>
          <w:p>
            <w:pPr>
              <w:widowControl w:val="0"/>
              <w:adjustRightInd w:val="0"/>
              <w:snapToGrid w:val="0"/>
              <w:spacing w:after="0"/>
              <w:jc w:val="left"/>
              <w:rPr>
                <w:rFonts w:ascii="Times New Roman" w:hAnsi="Times New Roman" w:eastAsia="仿宋" w:cs="Times New Roman"/>
                <w:color w:val="auto"/>
                <w:kern w:val="0"/>
                <w:sz w:val="28"/>
                <w:szCs w:val="28"/>
                <w:highlight w:val="none"/>
              </w:rPr>
            </w:pPr>
          </w:p>
        </w:tc>
        <w:tc>
          <w:tcPr>
            <w:tcW w:w="3909"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评估结论的选择是否符合评估对象的特点，是否能公允反映评估对象的价值。（4分）</w:t>
            </w:r>
          </w:p>
        </w:tc>
        <w:tc>
          <w:tcPr>
            <w:tcW w:w="1964"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合理</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4分</w:t>
            </w:r>
          </w:p>
          <w:p>
            <w:pPr>
              <w:widowControl w:val="0"/>
              <w:adjustRightInd w:val="0"/>
              <w:snapToGrid w:val="0"/>
              <w:spacing w:after="0"/>
              <w:jc w:val="left"/>
              <w:rPr>
                <w:rFonts w:ascii="Times New Roman" w:hAnsi="Times New Roman" w:eastAsia="黑体" w:cs="Times New Roman"/>
                <w:color w:val="auto"/>
                <w:kern w:val="0"/>
                <w:sz w:val="32"/>
                <w:szCs w:val="32"/>
                <w:highlight w:val="none"/>
              </w:rPr>
            </w:pPr>
            <w:r>
              <w:rPr>
                <w:rFonts w:ascii="Times New Roman" w:hAnsi="Times New Roman" w:eastAsia="仿宋" w:cs="Times New Roman"/>
                <w:color w:val="auto"/>
                <w:kern w:val="0"/>
                <w:sz w:val="24"/>
                <w:highlight w:val="none"/>
              </w:rPr>
              <w:t>不合理</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0分</w:t>
            </w:r>
          </w:p>
        </w:tc>
        <w:tc>
          <w:tcPr>
            <w:tcW w:w="699" w:type="dxa"/>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Merge w:val="continue"/>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c>
          <w:tcPr>
            <w:tcW w:w="1353" w:type="dxa"/>
            <w:vMerge w:val="continue"/>
            <w:noWrap/>
            <w:vAlign w:val="top"/>
          </w:tcPr>
          <w:p>
            <w:pPr>
              <w:widowControl w:val="0"/>
              <w:adjustRightInd w:val="0"/>
              <w:snapToGrid w:val="0"/>
              <w:spacing w:after="0"/>
              <w:jc w:val="left"/>
              <w:rPr>
                <w:rFonts w:ascii="Times New Roman" w:hAnsi="Times New Roman" w:eastAsia="仿宋" w:cs="Times New Roman"/>
                <w:color w:val="auto"/>
                <w:kern w:val="0"/>
                <w:sz w:val="28"/>
                <w:szCs w:val="28"/>
                <w:highlight w:val="none"/>
              </w:rPr>
            </w:pPr>
          </w:p>
        </w:tc>
        <w:tc>
          <w:tcPr>
            <w:tcW w:w="3909"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特别事项说明是否准确、完整，是否存在对评估结果有重大影响的特别事项仅披露，不做对评估结果影响的判断。（4分）</w:t>
            </w:r>
          </w:p>
        </w:tc>
        <w:tc>
          <w:tcPr>
            <w:tcW w:w="1964"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优秀</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4分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3分</w:t>
            </w:r>
          </w:p>
          <w:p>
            <w:pPr>
              <w:widowControl w:val="0"/>
              <w:adjustRightInd w:val="0"/>
              <w:snapToGrid w:val="0"/>
              <w:spacing w:after="0"/>
              <w:jc w:val="left"/>
              <w:rPr>
                <w:rFonts w:ascii="Times New Roman" w:hAnsi="Times New Roman" w:eastAsia="黑体" w:cs="Times New Roman"/>
                <w:color w:val="auto"/>
                <w:kern w:val="0"/>
                <w:sz w:val="32"/>
                <w:szCs w:val="32"/>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0-1分</w:t>
            </w:r>
          </w:p>
        </w:tc>
        <w:tc>
          <w:tcPr>
            <w:tcW w:w="699" w:type="dxa"/>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837" w:type="dxa"/>
            <w:vMerge w:val="continue"/>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c>
          <w:tcPr>
            <w:tcW w:w="1353" w:type="dxa"/>
            <w:vMerge w:val="restart"/>
            <w:noWrap/>
            <w:vAlign w:val="center"/>
          </w:tcPr>
          <w:p>
            <w:pPr>
              <w:widowControl w:val="0"/>
              <w:adjustRightInd w:val="0"/>
              <w:snapToGrid w:val="0"/>
              <w:spacing w:after="0"/>
              <w:jc w:val="left"/>
              <w:rPr>
                <w:rFonts w:ascii="Times New Roman" w:hAnsi="Times New Roman" w:eastAsia="黑体" w:cs="Times New Roman"/>
                <w:color w:val="auto"/>
                <w:kern w:val="0"/>
                <w:sz w:val="32"/>
                <w:szCs w:val="32"/>
                <w:highlight w:val="none"/>
              </w:rPr>
            </w:pPr>
            <w:r>
              <w:rPr>
                <w:rFonts w:ascii="Times New Roman" w:hAnsi="Times New Roman" w:eastAsia="黑体" w:cs="Times New Roman"/>
                <w:color w:val="auto"/>
                <w:kern w:val="0"/>
                <w:sz w:val="24"/>
                <w:highlight w:val="none"/>
              </w:rPr>
              <w:t>评估说明内容的完整性、合理性（45分）</w:t>
            </w:r>
          </w:p>
          <w:p>
            <w:pPr>
              <w:widowControl w:val="0"/>
              <w:adjustRightInd w:val="0"/>
              <w:snapToGrid w:val="0"/>
              <w:spacing w:after="0"/>
              <w:jc w:val="left"/>
              <w:rPr>
                <w:rFonts w:ascii="Times New Roman" w:hAnsi="Times New Roman" w:eastAsia="仿宋" w:cs="Times New Roman"/>
                <w:color w:val="auto"/>
                <w:kern w:val="0"/>
                <w:sz w:val="28"/>
                <w:szCs w:val="28"/>
                <w:highlight w:val="none"/>
              </w:rPr>
            </w:pPr>
          </w:p>
        </w:tc>
        <w:tc>
          <w:tcPr>
            <w:tcW w:w="3909"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hint="eastAsia" w:ascii="Times New Roman" w:hAnsi="Times New Roman" w:eastAsia="仿宋" w:cs="Times New Roman"/>
                <w:color w:val="auto"/>
                <w:kern w:val="0"/>
                <w:sz w:val="24"/>
                <w:highlight w:val="none"/>
                <w:lang w:eastAsia="zh-CN"/>
              </w:rPr>
              <w:t>成本</w:t>
            </w:r>
            <w:r>
              <w:rPr>
                <w:rFonts w:ascii="Times New Roman" w:hAnsi="Times New Roman" w:eastAsia="仿宋" w:cs="Times New Roman"/>
                <w:color w:val="auto"/>
                <w:kern w:val="0"/>
                <w:sz w:val="24"/>
                <w:highlight w:val="none"/>
              </w:rPr>
              <w:t>法部分：说明内容是否符合相关评估准则规定，是否根据资产分类介绍评估方法，各类资产选取的评估方法、参数以及评估结果是否合理，重要资产是否有案例，案例作价是否与取价依据匹配、计算无误，账外资产是否纳入评估范围，是否存在简单按账面值确认评估值且理由不充分的情况。（20分）</w:t>
            </w:r>
          </w:p>
        </w:tc>
        <w:tc>
          <w:tcPr>
            <w:tcW w:w="1964"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优秀</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17</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20分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较好</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13</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16分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9</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12分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0-8分</w:t>
            </w:r>
          </w:p>
        </w:tc>
        <w:tc>
          <w:tcPr>
            <w:tcW w:w="699" w:type="dxa"/>
            <w:noWrap/>
            <w:vAlign w:val="center"/>
          </w:tcPr>
          <w:p>
            <w:pPr>
              <w:widowControl w:val="0"/>
              <w:adjustRightInd w:val="0"/>
              <w:snapToGrid w:val="0"/>
              <w:spacing w:after="0"/>
              <w:jc w:val="center"/>
              <w:rPr>
                <w:rFonts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4" w:hRule="atLeast"/>
        </w:trPr>
        <w:tc>
          <w:tcPr>
            <w:tcW w:w="837" w:type="dxa"/>
            <w:vMerge w:val="continue"/>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c>
          <w:tcPr>
            <w:tcW w:w="1353" w:type="dxa"/>
            <w:vMerge w:val="continue"/>
            <w:noWrap/>
            <w:vAlign w:val="top"/>
          </w:tcPr>
          <w:p>
            <w:pPr>
              <w:widowControl w:val="0"/>
              <w:adjustRightInd w:val="0"/>
              <w:snapToGrid w:val="0"/>
              <w:spacing w:after="0"/>
              <w:jc w:val="left"/>
              <w:rPr>
                <w:rFonts w:ascii="Times New Roman" w:hAnsi="Times New Roman" w:eastAsia="仿宋" w:cs="Times New Roman"/>
                <w:color w:val="auto"/>
                <w:kern w:val="0"/>
                <w:sz w:val="28"/>
                <w:szCs w:val="28"/>
                <w:highlight w:val="none"/>
              </w:rPr>
            </w:pPr>
          </w:p>
        </w:tc>
        <w:tc>
          <w:tcPr>
            <w:tcW w:w="3909"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收益法部分：对</w:t>
            </w:r>
            <w:r>
              <w:rPr>
                <w:rFonts w:hint="eastAsia" w:ascii="Times New Roman" w:hAnsi="Times New Roman" w:eastAsia="仿宋" w:cs="Times New Roman"/>
                <w:color w:val="auto"/>
                <w:kern w:val="0"/>
                <w:sz w:val="24"/>
                <w:highlight w:val="none"/>
                <w:lang w:eastAsia="zh-CN"/>
              </w:rPr>
              <w:t>被评估</w:t>
            </w:r>
            <w:r>
              <w:rPr>
                <w:rFonts w:ascii="Times New Roman" w:hAnsi="Times New Roman" w:eastAsia="仿宋" w:cs="Times New Roman"/>
                <w:color w:val="auto"/>
                <w:kern w:val="0"/>
                <w:sz w:val="24"/>
                <w:highlight w:val="none"/>
              </w:rPr>
              <w:t>资产分析是否充分、合理，是否</w:t>
            </w:r>
            <w:r>
              <w:rPr>
                <w:rFonts w:hint="eastAsia" w:ascii="Times New Roman" w:hAnsi="Times New Roman" w:eastAsia="仿宋" w:cs="Times New Roman"/>
                <w:color w:val="auto"/>
                <w:kern w:val="0"/>
                <w:sz w:val="24"/>
                <w:highlight w:val="none"/>
                <w:lang w:eastAsia="zh-CN"/>
              </w:rPr>
              <w:t>针对</w:t>
            </w:r>
            <w:r>
              <w:rPr>
                <w:rFonts w:ascii="Times New Roman" w:hAnsi="Times New Roman" w:eastAsia="仿宋" w:cs="Times New Roman"/>
                <w:color w:val="auto"/>
                <w:kern w:val="0"/>
                <w:sz w:val="24"/>
                <w:highlight w:val="none"/>
              </w:rPr>
              <w:t>所</w:t>
            </w:r>
            <w:r>
              <w:rPr>
                <w:rFonts w:hint="eastAsia" w:ascii="Times New Roman" w:hAnsi="Times New Roman" w:eastAsia="仿宋" w:cs="Times New Roman"/>
                <w:color w:val="auto"/>
                <w:kern w:val="0"/>
                <w:sz w:val="24"/>
                <w:highlight w:val="none"/>
                <w:lang w:eastAsia="zh-CN"/>
              </w:rPr>
              <w:t>处</w:t>
            </w:r>
            <w:r>
              <w:rPr>
                <w:rFonts w:ascii="Times New Roman" w:hAnsi="Times New Roman" w:eastAsia="仿宋" w:cs="Times New Roman"/>
                <w:color w:val="auto"/>
                <w:kern w:val="0"/>
                <w:sz w:val="24"/>
                <w:highlight w:val="none"/>
              </w:rPr>
              <w:t>行业、</w:t>
            </w:r>
            <w:r>
              <w:rPr>
                <w:rFonts w:hint="eastAsia" w:ascii="Times New Roman" w:hAnsi="Times New Roman" w:eastAsia="仿宋" w:cs="Times New Roman"/>
                <w:color w:val="auto"/>
                <w:kern w:val="0"/>
                <w:sz w:val="24"/>
                <w:highlight w:val="none"/>
                <w:lang w:eastAsia="zh-CN"/>
              </w:rPr>
              <w:t>运营</w:t>
            </w:r>
            <w:r>
              <w:rPr>
                <w:rFonts w:ascii="Times New Roman" w:hAnsi="Times New Roman" w:eastAsia="仿宋" w:cs="Times New Roman"/>
                <w:color w:val="auto"/>
                <w:kern w:val="0"/>
                <w:sz w:val="24"/>
                <w:highlight w:val="none"/>
              </w:rPr>
              <w:t>特点、收益情况等选择恰当的收益模型，是否合理确定收益期限，对应的折现率确定过程和依据是否合理，是否对经营性资产的收入、成本及费用、折旧摊销、营运资金、资本性支出、所得税等进行合理预测，并充分说明依据及理由。（20分）</w:t>
            </w:r>
          </w:p>
        </w:tc>
        <w:tc>
          <w:tcPr>
            <w:tcW w:w="1964"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优秀</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17</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20分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较好</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13</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16分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9</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12分</w:t>
            </w:r>
          </w:p>
          <w:p>
            <w:pPr>
              <w:widowControl w:val="0"/>
              <w:adjustRightInd w:val="0"/>
              <w:snapToGrid w:val="0"/>
              <w:spacing w:after="0"/>
              <w:jc w:val="left"/>
              <w:rPr>
                <w:rFonts w:ascii="Times New Roman" w:hAnsi="Times New Roman" w:eastAsia="黑体" w:cs="Times New Roman"/>
                <w:color w:val="auto"/>
                <w:kern w:val="0"/>
                <w:sz w:val="32"/>
                <w:szCs w:val="32"/>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0-8分</w:t>
            </w:r>
          </w:p>
        </w:tc>
        <w:tc>
          <w:tcPr>
            <w:tcW w:w="699" w:type="dxa"/>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trPr>
        <w:tc>
          <w:tcPr>
            <w:tcW w:w="837" w:type="dxa"/>
            <w:vMerge w:val="continue"/>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c>
          <w:tcPr>
            <w:tcW w:w="1353" w:type="dxa"/>
            <w:vMerge w:val="continue"/>
            <w:noWrap/>
            <w:vAlign w:val="top"/>
          </w:tcPr>
          <w:p>
            <w:pPr>
              <w:widowControl w:val="0"/>
              <w:adjustRightInd w:val="0"/>
              <w:snapToGrid w:val="0"/>
              <w:spacing w:after="0"/>
              <w:jc w:val="left"/>
              <w:rPr>
                <w:rFonts w:ascii="Times New Roman" w:hAnsi="Times New Roman" w:eastAsia="仿宋" w:cs="Times New Roman"/>
                <w:color w:val="auto"/>
                <w:kern w:val="0"/>
                <w:sz w:val="28"/>
                <w:szCs w:val="28"/>
                <w:highlight w:val="none"/>
              </w:rPr>
            </w:pPr>
          </w:p>
        </w:tc>
        <w:tc>
          <w:tcPr>
            <w:tcW w:w="3909"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市场法部分：选择的可比案例是否与被评估</w:t>
            </w:r>
            <w:r>
              <w:rPr>
                <w:rFonts w:hint="eastAsia" w:ascii="Times New Roman" w:hAnsi="Times New Roman" w:eastAsia="仿宋" w:cs="Times New Roman"/>
                <w:color w:val="auto"/>
                <w:kern w:val="0"/>
                <w:sz w:val="24"/>
                <w:highlight w:val="none"/>
                <w:lang w:eastAsia="zh-CN"/>
              </w:rPr>
              <w:t>资产</w:t>
            </w:r>
            <w:r>
              <w:rPr>
                <w:rFonts w:ascii="Times New Roman" w:hAnsi="Times New Roman" w:eastAsia="仿宋" w:cs="Times New Roman"/>
                <w:color w:val="auto"/>
                <w:kern w:val="0"/>
                <w:sz w:val="24"/>
                <w:highlight w:val="none"/>
              </w:rPr>
              <w:t>具有可比性，是否对</w:t>
            </w:r>
            <w:r>
              <w:rPr>
                <w:rFonts w:hint="eastAsia" w:ascii="Times New Roman" w:hAnsi="Times New Roman" w:eastAsia="仿宋" w:cs="Times New Roman"/>
                <w:color w:val="auto"/>
                <w:kern w:val="0"/>
                <w:sz w:val="24"/>
                <w:highlight w:val="none"/>
                <w:lang w:eastAsia="zh-CN"/>
              </w:rPr>
              <w:t>被评估资产与可比案例进行全面、合理分析，是否</w:t>
            </w:r>
            <w:r>
              <w:rPr>
                <w:rFonts w:ascii="Times New Roman" w:hAnsi="Times New Roman" w:eastAsia="仿宋" w:cs="Times New Roman"/>
                <w:color w:val="auto"/>
                <w:kern w:val="0"/>
                <w:sz w:val="24"/>
                <w:highlight w:val="none"/>
              </w:rPr>
              <w:t>消除偶然因素，选择的</w:t>
            </w:r>
            <w:r>
              <w:rPr>
                <w:rFonts w:hint="eastAsia" w:ascii="Times New Roman" w:hAnsi="Times New Roman" w:eastAsia="仿宋" w:cs="Times New Roman"/>
                <w:color w:val="auto"/>
                <w:kern w:val="0"/>
                <w:sz w:val="24"/>
                <w:highlight w:val="none"/>
                <w:lang w:eastAsia="zh-CN"/>
              </w:rPr>
              <w:t>修正因素是否全面，确定各修正系数是否进行充分、合理</w:t>
            </w:r>
            <w:r>
              <w:rPr>
                <w:rFonts w:ascii="Times New Roman" w:hAnsi="Times New Roman" w:eastAsia="仿宋" w:cs="Times New Roman"/>
                <w:color w:val="auto"/>
                <w:kern w:val="0"/>
                <w:sz w:val="24"/>
                <w:highlight w:val="none"/>
              </w:rPr>
              <w:t>分析。（20分）</w:t>
            </w:r>
          </w:p>
        </w:tc>
        <w:tc>
          <w:tcPr>
            <w:tcW w:w="1964"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优秀</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17</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20分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较好</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13</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16分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9</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12分</w:t>
            </w:r>
          </w:p>
          <w:p>
            <w:pPr>
              <w:widowControl w:val="0"/>
              <w:adjustRightInd w:val="0"/>
              <w:snapToGrid w:val="0"/>
              <w:spacing w:after="0"/>
              <w:jc w:val="left"/>
              <w:rPr>
                <w:rFonts w:ascii="Times New Roman" w:hAnsi="Times New Roman" w:eastAsia="黑体" w:cs="Times New Roman"/>
                <w:color w:val="auto"/>
                <w:kern w:val="0"/>
                <w:sz w:val="32"/>
                <w:szCs w:val="32"/>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0-8分</w:t>
            </w:r>
          </w:p>
        </w:tc>
        <w:tc>
          <w:tcPr>
            <w:tcW w:w="699" w:type="dxa"/>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837" w:type="dxa"/>
            <w:vMerge w:val="continue"/>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c>
          <w:tcPr>
            <w:tcW w:w="1353" w:type="dxa"/>
            <w:vMerge w:val="continue"/>
            <w:noWrap/>
            <w:vAlign w:val="top"/>
          </w:tcPr>
          <w:p>
            <w:pPr>
              <w:widowControl w:val="0"/>
              <w:adjustRightInd w:val="0"/>
              <w:snapToGrid w:val="0"/>
              <w:spacing w:after="0"/>
              <w:jc w:val="left"/>
              <w:rPr>
                <w:rFonts w:ascii="Times New Roman" w:hAnsi="Times New Roman" w:eastAsia="仿宋" w:cs="Times New Roman"/>
                <w:color w:val="auto"/>
                <w:kern w:val="0"/>
                <w:sz w:val="28"/>
                <w:szCs w:val="28"/>
                <w:highlight w:val="none"/>
              </w:rPr>
            </w:pPr>
          </w:p>
        </w:tc>
        <w:tc>
          <w:tcPr>
            <w:tcW w:w="3909"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评估说明整体是否详略得当，是否存在明显</w:t>
            </w:r>
            <w:r>
              <w:rPr>
                <w:rFonts w:hint="eastAsia" w:ascii="Times New Roman" w:hAnsi="Times New Roman" w:eastAsia="仿宋" w:cs="Times New Roman"/>
                <w:color w:val="auto"/>
                <w:kern w:val="0"/>
                <w:sz w:val="24"/>
                <w:highlight w:val="none"/>
                <w:lang w:eastAsia="zh-CN"/>
              </w:rPr>
              <w:t>模板</w:t>
            </w:r>
            <w:r>
              <w:rPr>
                <w:rFonts w:ascii="Times New Roman" w:hAnsi="Times New Roman" w:eastAsia="仿宋" w:cs="Times New Roman"/>
                <w:color w:val="auto"/>
                <w:kern w:val="0"/>
                <w:sz w:val="24"/>
                <w:highlight w:val="none"/>
              </w:rPr>
              <w:t>化内容，或者说明简略无法判断合理性的情况，是否存在较多低级错误。（5分）</w:t>
            </w:r>
          </w:p>
        </w:tc>
        <w:tc>
          <w:tcPr>
            <w:tcW w:w="1964"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优秀</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5分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一般</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3</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4分</w:t>
            </w:r>
          </w:p>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较差</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0-2分</w:t>
            </w:r>
          </w:p>
        </w:tc>
        <w:tc>
          <w:tcPr>
            <w:tcW w:w="699" w:type="dxa"/>
            <w:noWrap/>
            <w:vAlign w:val="top"/>
          </w:tcPr>
          <w:p>
            <w:pPr>
              <w:widowControl w:val="0"/>
              <w:adjustRightInd w:val="0"/>
              <w:snapToGrid w:val="0"/>
              <w:spacing w:after="0"/>
              <w:jc w:val="center"/>
              <w:rPr>
                <w:rFonts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837" w:type="dxa"/>
            <w:vMerge w:val="continue"/>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c>
          <w:tcPr>
            <w:tcW w:w="1353" w:type="dxa"/>
            <w:vMerge w:val="restart"/>
            <w:noWrap/>
            <w:vAlign w:val="center"/>
          </w:tcPr>
          <w:p>
            <w:pPr>
              <w:widowControl w:val="0"/>
              <w:adjustRightInd w:val="0"/>
              <w:snapToGrid w:val="0"/>
              <w:spacing w:after="0"/>
              <w:jc w:val="left"/>
              <w:rPr>
                <w:rFonts w:ascii="Times New Roman" w:hAnsi="Times New Roman" w:eastAsia="仿宋" w:cs="Times New Roman"/>
                <w:color w:val="auto"/>
                <w:kern w:val="0"/>
                <w:sz w:val="28"/>
                <w:szCs w:val="28"/>
                <w:highlight w:val="none"/>
              </w:rPr>
            </w:pPr>
            <w:r>
              <w:rPr>
                <w:rFonts w:ascii="Times New Roman" w:hAnsi="Times New Roman" w:eastAsia="黑体" w:cs="Times New Roman"/>
                <w:color w:val="auto"/>
                <w:kern w:val="0"/>
                <w:sz w:val="24"/>
                <w:highlight w:val="none"/>
              </w:rPr>
              <w:t>评估报告修改情况（13分）</w:t>
            </w:r>
          </w:p>
        </w:tc>
        <w:tc>
          <w:tcPr>
            <w:tcW w:w="3909"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评估报告是否因评估机构原因经过三次以上修改才符合要求。（</w:t>
            </w:r>
            <w:r>
              <w:rPr>
                <w:rFonts w:hint="eastAsia" w:ascii="Times New Roman" w:hAnsi="Times New Roman" w:eastAsia="仿宋" w:cs="Times New Roman"/>
                <w:color w:val="auto"/>
                <w:kern w:val="0"/>
                <w:sz w:val="24"/>
                <w:highlight w:val="none"/>
                <w:lang w:val="en-US" w:eastAsia="zh-CN"/>
              </w:rPr>
              <w:t>6</w:t>
            </w:r>
            <w:r>
              <w:rPr>
                <w:rFonts w:ascii="Times New Roman" w:hAnsi="Times New Roman" w:eastAsia="仿宋" w:cs="Times New Roman"/>
                <w:color w:val="auto"/>
                <w:kern w:val="0"/>
                <w:sz w:val="24"/>
                <w:highlight w:val="none"/>
              </w:rPr>
              <w:t>分）</w:t>
            </w:r>
          </w:p>
        </w:tc>
        <w:tc>
          <w:tcPr>
            <w:tcW w:w="1964" w:type="dxa"/>
            <w:gridSpan w:val="2"/>
            <w:noWrap/>
            <w:vAlign w:val="center"/>
          </w:tcPr>
          <w:p>
            <w:pPr>
              <w:widowControl w:val="0"/>
              <w:adjustRightInd w:val="0"/>
              <w:snapToGrid w:val="0"/>
              <w:spacing w:after="0" w:line="280" w:lineRule="exact"/>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0次</w:t>
            </w:r>
            <w:r>
              <w:rPr>
                <w:rFonts w:hint="eastAsia" w:ascii="Times New Roman" w:hAnsi="Times New Roman" w:eastAsia="仿宋" w:cs="Times New Roman"/>
                <w:color w:val="auto"/>
                <w:kern w:val="0"/>
                <w:sz w:val="24"/>
                <w:highlight w:val="none"/>
                <w:lang w:eastAsia="zh-CN"/>
              </w:rPr>
              <w:t>：</w:t>
            </w:r>
            <w:r>
              <w:rPr>
                <w:rFonts w:hint="eastAsia" w:ascii="Times New Roman" w:hAnsi="Times New Roman" w:eastAsia="仿宋" w:cs="Times New Roman"/>
                <w:color w:val="auto"/>
                <w:kern w:val="0"/>
                <w:sz w:val="24"/>
                <w:highlight w:val="none"/>
                <w:lang w:val="en-US" w:eastAsia="zh-CN"/>
              </w:rPr>
              <w:t>6</w:t>
            </w:r>
            <w:r>
              <w:rPr>
                <w:rFonts w:ascii="Times New Roman" w:hAnsi="Times New Roman" w:eastAsia="仿宋" w:cs="Times New Roman"/>
                <w:color w:val="auto"/>
                <w:kern w:val="0"/>
                <w:sz w:val="24"/>
                <w:highlight w:val="none"/>
              </w:rPr>
              <w:t>分</w:t>
            </w:r>
          </w:p>
          <w:p>
            <w:pPr>
              <w:widowControl w:val="0"/>
              <w:adjustRightInd w:val="0"/>
              <w:snapToGrid w:val="0"/>
              <w:spacing w:after="0" w:line="280" w:lineRule="exact"/>
              <w:jc w:val="left"/>
              <w:rPr>
                <w:rFonts w:hint="default" w:ascii="Times New Roman" w:hAnsi="Times New Roman" w:eastAsia="仿宋" w:cs="Times New Roman"/>
                <w:color w:val="auto"/>
                <w:kern w:val="0"/>
                <w:sz w:val="24"/>
                <w:highlight w:val="none"/>
                <w:lang w:val="en-US" w:eastAsia="zh-CN"/>
              </w:rPr>
            </w:pPr>
            <w:r>
              <w:rPr>
                <w:rFonts w:hint="eastAsia" w:ascii="Times New Roman" w:hAnsi="Times New Roman" w:eastAsia="仿宋" w:cs="Times New Roman"/>
                <w:color w:val="auto"/>
                <w:kern w:val="0"/>
                <w:sz w:val="24"/>
                <w:highlight w:val="none"/>
                <w:lang w:val="en-US" w:eastAsia="zh-CN"/>
              </w:rPr>
              <w:t>1次：5分</w:t>
            </w:r>
          </w:p>
          <w:p>
            <w:pPr>
              <w:widowControl w:val="0"/>
              <w:adjustRightInd w:val="0"/>
              <w:snapToGrid w:val="0"/>
              <w:spacing w:after="0" w:line="280" w:lineRule="exact"/>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2次</w:t>
            </w:r>
            <w:r>
              <w:rPr>
                <w:rFonts w:hint="eastAsia" w:ascii="Times New Roman" w:hAnsi="Times New Roman" w:eastAsia="仿宋" w:cs="Times New Roman"/>
                <w:color w:val="auto"/>
                <w:kern w:val="0"/>
                <w:sz w:val="24"/>
                <w:highlight w:val="none"/>
                <w:lang w:eastAsia="zh-CN"/>
              </w:rPr>
              <w:t>：</w:t>
            </w:r>
            <w:r>
              <w:rPr>
                <w:rFonts w:hint="eastAsia" w:ascii="Times New Roman" w:hAnsi="Times New Roman" w:eastAsia="仿宋" w:cs="Times New Roman"/>
                <w:color w:val="auto"/>
                <w:kern w:val="0"/>
                <w:sz w:val="24"/>
                <w:highlight w:val="none"/>
                <w:lang w:val="en-US" w:eastAsia="zh-CN"/>
              </w:rPr>
              <w:t>3-4</w:t>
            </w:r>
            <w:r>
              <w:rPr>
                <w:rFonts w:ascii="Times New Roman" w:hAnsi="Times New Roman" w:eastAsia="仿宋" w:cs="Times New Roman"/>
                <w:color w:val="auto"/>
                <w:kern w:val="0"/>
                <w:sz w:val="24"/>
                <w:highlight w:val="none"/>
              </w:rPr>
              <w:t>分</w:t>
            </w:r>
          </w:p>
          <w:p>
            <w:pPr>
              <w:widowControl w:val="0"/>
              <w:adjustRightInd w:val="0"/>
              <w:snapToGrid w:val="0"/>
              <w:spacing w:after="0" w:line="280" w:lineRule="exact"/>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3次</w:t>
            </w:r>
            <w:r>
              <w:rPr>
                <w:rFonts w:hint="eastAsia" w:ascii="Times New Roman" w:hAnsi="Times New Roman" w:eastAsia="仿宋" w:cs="Times New Roman"/>
                <w:color w:val="auto"/>
                <w:kern w:val="0"/>
                <w:sz w:val="24"/>
                <w:highlight w:val="none"/>
                <w:lang w:eastAsia="zh-CN"/>
              </w:rPr>
              <w:t>：</w:t>
            </w:r>
            <w:r>
              <w:rPr>
                <w:rFonts w:hint="eastAsia" w:ascii="Times New Roman" w:hAnsi="Times New Roman" w:eastAsia="仿宋" w:cs="Times New Roman"/>
                <w:color w:val="auto"/>
                <w:kern w:val="0"/>
                <w:sz w:val="24"/>
                <w:highlight w:val="none"/>
                <w:lang w:val="en-US" w:eastAsia="zh-CN"/>
              </w:rPr>
              <w:t>1-2</w:t>
            </w:r>
            <w:r>
              <w:rPr>
                <w:rFonts w:ascii="Times New Roman" w:hAnsi="Times New Roman" w:eastAsia="仿宋" w:cs="Times New Roman"/>
                <w:color w:val="auto"/>
                <w:kern w:val="0"/>
                <w:sz w:val="24"/>
                <w:highlight w:val="none"/>
              </w:rPr>
              <w:t>分</w:t>
            </w:r>
          </w:p>
          <w:p>
            <w:pPr>
              <w:widowControl w:val="0"/>
              <w:adjustRightInd w:val="0"/>
              <w:snapToGrid w:val="0"/>
              <w:spacing w:after="0" w:line="280" w:lineRule="exact"/>
              <w:jc w:val="left"/>
              <w:rPr>
                <w:rFonts w:ascii="Times New Roman" w:hAnsi="Times New Roman" w:eastAsia="黑体" w:cs="Times New Roman"/>
                <w:color w:val="auto"/>
                <w:kern w:val="0"/>
                <w:sz w:val="32"/>
                <w:szCs w:val="32"/>
                <w:highlight w:val="none"/>
              </w:rPr>
            </w:pPr>
            <w:r>
              <w:rPr>
                <w:rFonts w:ascii="Times New Roman" w:hAnsi="Times New Roman" w:eastAsia="仿宋" w:cs="Times New Roman"/>
                <w:color w:val="auto"/>
                <w:kern w:val="0"/>
                <w:sz w:val="24"/>
                <w:highlight w:val="none"/>
              </w:rPr>
              <w:t>3次以上</w:t>
            </w:r>
            <w:r>
              <w:rPr>
                <w:rFonts w:hint="eastAsia" w:ascii="Times New Roman" w:hAnsi="Times New Roman" w:eastAsia="仿宋" w:cs="Times New Roman"/>
                <w:color w:val="auto"/>
                <w:kern w:val="0"/>
                <w:sz w:val="24"/>
                <w:highlight w:val="none"/>
                <w:lang w:eastAsia="zh-CN"/>
              </w:rPr>
              <w:t>：</w:t>
            </w:r>
            <w:r>
              <w:rPr>
                <w:rFonts w:ascii="Times New Roman" w:hAnsi="Times New Roman" w:eastAsia="仿宋" w:cs="Times New Roman"/>
                <w:color w:val="auto"/>
                <w:kern w:val="0"/>
                <w:sz w:val="24"/>
                <w:highlight w:val="none"/>
              </w:rPr>
              <w:t>0分</w:t>
            </w:r>
          </w:p>
        </w:tc>
        <w:tc>
          <w:tcPr>
            <w:tcW w:w="699" w:type="dxa"/>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Merge w:val="continue"/>
            <w:noWrap/>
            <w:vAlign w:val="top"/>
          </w:tcPr>
          <w:p>
            <w:pPr>
              <w:widowControl w:val="0"/>
              <w:adjustRightInd w:val="0"/>
              <w:snapToGrid w:val="0"/>
              <w:spacing w:after="0"/>
              <w:jc w:val="center"/>
              <w:rPr>
                <w:rFonts w:ascii="Times New Roman" w:hAnsi="Times New Roman" w:eastAsia="黑体" w:cs="Times New Roman"/>
                <w:color w:val="auto"/>
                <w:kern w:val="0"/>
                <w:sz w:val="32"/>
                <w:szCs w:val="32"/>
                <w:highlight w:val="none"/>
              </w:rPr>
            </w:pPr>
          </w:p>
        </w:tc>
        <w:tc>
          <w:tcPr>
            <w:tcW w:w="1353" w:type="dxa"/>
            <w:vMerge w:val="continue"/>
            <w:noWrap/>
            <w:vAlign w:val="top"/>
          </w:tcPr>
          <w:p>
            <w:pPr>
              <w:widowControl w:val="0"/>
              <w:adjustRightInd w:val="0"/>
              <w:snapToGrid w:val="0"/>
              <w:spacing w:after="0"/>
              <w:jc w:val="left"/>
              <w:rPr>
                <w:rFonts w:ascii="Times New Roman" w:hAnsi="Times New Roman" w:eastAsia="仿宋" w:cs="Times New Roman"/>
                <w:color w:val="auto"/>
                <w:kern w:val="0"/>
                <w:sz w:val="28"/>
                <w:szCs w:val="28"/>
                <w:highlight w:val="none"/>
              </w:rPr>
            </w:pPr>
          </w:p>
        </w:tc>
        <w:tc>
          <w:tcPr>
            <w:tcW w:w="3909" w:type="dxa"/>
            <w:gridSpan w:val="2"/>
            <w:noWrap/>
            <w:vAlign w:val="center"/>
          </w:tcPr>
          <w:p>
            <w:pPr>
              <w:widowControl w:val="0"/>
              <w:adjustRightInd w:val="0"/>
              <w:snapToGrid w:val="0"/>
              <w:spacing w:after="0"/>
              <w:jc w:val="left"/>
              <w:rPr>
                <w:rFonts w:ascii="Times New Roman" w:hAnsi="Times New Roman" w:eastAsia="仿宋" w:cs="Times New Roman"/>
                <w:color w:val="auto"/>
                <w:kern w:val="0"/>
                <w:sz w:val="24"/>
                <w:highlight w:val="none"/>
              </w:rPr>
            </w:pPr>
            <w:r>
              <w:rPr>
                <w:rFonts w:ascii="Times New Roman" w:hAnsi="Times New Roman" w:eastAsia="仿宋" w:cs="Times New Roman"/>
                <w:color w:val="auto"/>
                <w:kern w:val="0"/>
                <w:sz w:val="24"/>
                <w:highlight w:val="none"/>
              </w:rPr>
              <w:t>评估结果调整情况。（8分）</w:t>
            </w:r>
          </w:p>
        </w:tc>
        <w:tc>
          <w:tcPr>
            <w:tcW w:w="1964" w:type="dxa"/>
            <w:gridSpan w:val="2"/>
            <w:noWrap/>
            <w:vAlign w:val="center"/>
          </w:tcPr>
          <w:p>
            <w:pPr>
              <w:widowControl w:val="0"/>
              <w:adjustRightInd w:val="0"/>
              <w:snapToGrid w:val="0"/>
              <w:spacing w:after="0" w:line="280" w:lineRule="exact"/>
              <w:jc w:val="left"/>
              <w:rPr>
                <w:rFonts w:ascii="Times New Roman" w:hAnsi="Times New Roman" w:eastAsia="仿宋" w:cs="Times New Roman"/>
                <w:color w:val="auto"/>
                <w:kern w:val="0"/>
                <w:sz w:val="22"/>
                <w:szCs w:val="21"/>
                <w:highlight w:val="none"/>
              </w:rPr>
            </w:pPr>
            <w:r>
              <w:rPr>
                <w:rFonts w:ascii="Times New Roman" w:hAnsi="Times New Roman" w:eastAsia="仿宋" w:cs="Times New Roman"/>
                <w:color w:val="auto"/>
                <w:kern w:val="0"/>
                <w:sz w:val="22"/>
                <w:szCs w:val="21"/>
                <w:highlight w:val="none"/>
              </w:rPr>
              <w:t>未调整</w:t>
            </w:r>
            <w:r>
              <w:rPr>
                <w:rFonts w:hint="eastAsia" w:ascii="Times New Roman" w:hAnsi="Times New Roman" w:eastAsia="仿宋" w:cs="Times New Roman"/>
                <w:color w:val="auto"/>
                <w:kern w:val="0"/>
                <w:sz w:val="22"/>
                <w:szCs w:val="21"/>
                <w:highlight w:val="none"/>
                <w:lang w:eastAsia="zh-CN"/>
              </w:rPr>
              <w:t>：</w:t>
            </w:r>
            <w:r>
              <w:rPr>
                <w:rFonts w:ascii="Times New Roman" w:hAnsi="Times New Roman" w:eastAsia="仿宋" w:cs="Times New Roman"/>
                <w:color w:val="auto"/>
                <w:kern w:val="0"/>
                <w:sz w:val="22"/>
                <w:szCs w:val="21"/>
                <w:highlight w:val="none"/>
              </w:rPr>
              <w:t>8分</w:t>
            </w:r>
          </w:p>
          <w:p>
            <w:pPr>
              <w:widowControl w:val="0"/>
              <w:adjustRightInd w:val="0"/>
              <w:snapToGrid w:val="0"/>
              <w:spacing w:after="0" w:line="280" w:lineRule="exact"/>
              <w:jc w:val="left"/>
              <w:rPr>
                <w:rFonts w:ascii="Times New Roman" w:hAnsi="Times New Roman" w:eastAsia="仿宋" w:cs="Times New Roman"/>
                <w:color w:val="auto"/>
                <w:kern w:val="0"/>
                <w:sz w:val="22"/>
                <w:szCs w:val="21"/>
                <w:highlight w:val="none"/>
              </w:rPr>
            </w:pPr>
            <w:r>
              <w:rPr>
                <w:rFonts w:ascii="Times New Roman" w:hAnsi="Times New Roman" w:eastAsia="仿宋" w:cs="Times New Roman"/>
                <w:color w:val="auto"/>
                <w:kern w:val="0"/>
                <w:sz w:val="22"/>
                <w:szCs w:val="21"/>
                <w:highlight w:val="none"/>
              </w:rPr>
              <w:t>小于</w:t>
            </w:r>
            <w:r>
              <w:rPr>
                <w:rFonts w:hint="eastAsia" w:ascii="Times New Roman" w:hAnsi="Times New Roman" w:eastAsia="仿宋" w:cs="Times New Roman"/>
                <w:color w:val="auto"/>
                <w:kern w:val="0"/>
                <w:sz w:val="22"/>
                <w:szCs w:val="21"/>
                <w:highlight w:val="none"/>
                <w:lang w:val="en-US" w:eastAsia="zh-CN"/>
              </w:rPr>
              <w:t>10</w:t>
            </w:r>
            <w:r>
              <w:rPr>
                <w:rFonts w:ascii="Times New Roman" w:hAnsi="Times New Roman" w:eastAsia="仿宋" w:cs="Times New Roman"/>
                <w:color w:val="auto"/>
                <w:kern w:val="0"/>
                <w:sz w:val="22"/>
                <w:szCs w:val="21"/>
                <w:highlight w:val="none"/>
              </w:rPr>
              <w:t>%</w:t>
            </w:r>
            <w:r>
              <w:rPr>
                <w:rFonts w:hint="eastAsia" w:ascii="Times New Roman" w:hAnsi="Times New Roman" w:eastAsia="仿宋" w:cs="Times New Roman"/>
                <w:color w:val="auto"/>
                <w:kern w:val="0"/>
                <w:sz w:val="22"/>
                <w:szCs w:val="21"/>
                <w:highlight w:val="none"/>
                <w:lang w:eastAsia="zh-CN"/>
              </w:rPr>
              <w:t>：</w:t>
            </w:r>
            <w:r>
              <w:rPr>
                <w:rFonts w:ascii="Times New Roman" w:hAnsi="Times New Roman" w:eastAsia="仿宋" w:cs="Times New Roman"/>
                <w:color w:val="auto"/>
                <w:kern w:val="0"/>
                <w:sz w:val="22"/>
                <w:szCs w:val="21"/>
                <w:highlight w:val="none"/>
              </w:rPr>
              <w:t>5</w:t>
            </w:r>
            <w:r>
              <w:rPr>
                <w:rFonts w:hint="eastAsia" w:ascii="Times New Roman" w:hAnsi="Times New Roman" w:eastAsia="仿宋" w:cs="Times New Roman"/>
                <w:color w:val="auto"/>
                <w:kern w:val="0"/>
                <w:sz w:val="22"/>
                <w:szCs w:val="21"/>
                <w:highlight w:val="none"/>
                <w:lang w:eastAsia="zh-CN"/>
              </w:rPr>
              <w:t>-</w:t>
            </w:r>
            <w:r>
              <w:rPr>
                <w:rFonts w:ascii="Times New Roman" w:hAnsi="Times New Roman" w:eastAsia="仿宋" w:cs="Times New Roman"/>
                <w:color w:val="auto"/>
                <w:kern w:val="0"/>
                <w:sz w:val="22"/>
                <w:szCs w:val="21"/>
                <w:highlight w:val="none"/>
              </w:rPr>
              <w:t>7分</w:t>
            </w:r>
          </w:p>
          <w:p>
            <w:pPr>
              <w:widowControl w:val="0"/>
              <w:adjustRightInd w:val="0"/>
              <w:snapToGrid w:val="0"/>
              <w:spacing w:after="0" w:line="280" w:lineRule="exact"/>
              <w:jc w:val="left"/>
              <w:rPr>
                <w:rFonts w:ascii="Times New Roman" w:hAnsi="Times New Roman" w:eastAsia="仿宋" w:cs="Times New Roman"/>
                <w:color w:val="auto"/>
                <w:kern w:val="0"/>
                <w:sz w:val="22"/>
                <w:szCs w:val="21"/>
                <w:highlight w:val="none"/>
              </w:rPr>
            </w:pPr>
            <w:r>
              <w:rPr>
                <w:rFonts w:hint="eastAsia" w:ascii="Times New Roman" w:hAnsi="Times New Roman" w:eastAsia="仿宋" w:cs="Times New Roman"/>
                <w:color w:val="auto"/>
                <w:kern w:val="0"/>
                <w:sz w:val="22"/>
                <w:szCs w:val="21"/>
                <w:highlight w:val="none"/>
                <w:lang w:val="en-US" w:eastAsia="zh-CN"/>
              </w:rPr>
              <w:t>10</w:t>
            </w:r>
            <w:r>
              <w:rPr>
                <w:rFonts w:ascii="Times New Roman" w:hAnsi="Times New Roman" w:eastAsia="仿宋" w:cs="Times New Roman"/>
                <w:color w:val="auto"/>
                <w:kern w:val="0"/>
                <w:sz w:val="22"/>
                <w:szCs w:val="21"/>
                <w:highlight w:val="none"/>
              </w:rPr>
              <w:t>%</w:t>
            </w:r>
            <w:r>
              <w:rPr>
                <w:rFonts w:hint="eastAsia" w:ascii="Times New Roman" w:hAnsi="Times New Roman" w:eastAsia="仿宋" w:cs="Times New Roman"/>
                <w:color w:val="auto"/>
                <w:kern w:val="0"/>
                <w:sz w:val="22"/>
                <w:szCs w:val="21"/>
                <w:highlight w:val="none"/>
                <w:lang w:eastAsia="zh-CN"/>
              </w:rPr>
              <w:t>-</w:t>
            </w:r>
            <w:r>
              <w:rPr>
                <w:rFonts w:hint="eastAsia" w:ascii="Times New Roman" w:hAnsi="Times New Roman" w:eastAsia="仿宋" w:cs="Times New Roman"/>
                <w:color w:val="auto"/>
                <w:kern w:val="0"/>
                <w:sz w:val="22"/>
                <w:szCs w:val="21"/>
                <w:highlight w:val="none"/>
                <w:lang w:val="en-US" w:eastAsia="zh-CN"/>
              </w:rPr>
              <w:t>2</w:t>
            </w:r>
            <w:r>
              <w:rPr>
                <w:rFonts w:ascii="Times New Roman" w:hAnsi="Times New Roman" w:eastAsia="仿宋" w:cs="Times New Roman"/>
                <w:color w:val="auto"/>
                <w:kern w:val="0"/>
                <w:sz w:val="22"/>
                <w:szCs w:val="21"/>
                <w:highlight w:val="none"/>
              </w:rPr>
              <w:t>0%</w:t>
            </w:r>
            <w:r>
              <w:rPr>
                <w:rFonts w:hint="eastAsia" w:ascii="Times New Roman" w:hAnsi="Times New Roman" w:eastAsia="仿宋" w:cs="Times New Roman"/>
                <w:color w:val="auto"/>
                <w:kern w:val="0"/>
                <w:sz w:val="22"/>
                <w:szCs w:val="21"/>
                <w:highlight w:val="none"/>
                <w:lang w:eastAsia="zh-CN"/>
              </w:rPr>
              <w:t>：</w:t>
            </w:r>
            <w:r>
              <w:rPr>
                <w:rFonts w:ascii="Times New Roman" w:hAnsi="Times New Roman" w:eastAsia="仿宋" w:cs="Times New Roman"/>
                <w:color w:val="auto"/>
                <w:kern w:val="0"/>
                <w:sz w:val="22"/>
                <w:szCs w:val="21"/>
                <w:highlight w:val="none"/>
              </w:rPr>
              <w:t>1</w:t>
            </w:r>
            <w:r>
              <w:rPr>
                <w:rFonts w:hint="eastAsia" w:ascii="Times New Roman" w:hAnsi="Times New Roman" w:eastAsia="仿宋" w:cs="Times New Roman"/>
                <w:color w:val="auto"/>
                <w:kern w:val="0"/>
                <w:sz w:val="22"/>
                <w:szCs w:val="21"/>
                <w:highlight w:val="none"/>
                <w:lang w:eastAsia="zh-CN"/>
              </w:rPr>
              <w:t>-</w:t>
            </w:r>
            <w:r>
              <w:rPr>
                <w:rFonts w:ascii="Times New Roman" w:hAnsi="Times New Roman" w:eastAsia="仿宋" w:cs="Times New Roman"/>
                <w:color w:val="auto"/>
                <w:kern w:val="0"/>
                <w:sz w:val="22"/>
                <w:szCs w:val="21"/>
                <w:highlight w:val="none"/>
              </w:rPr>
              <w:t>4分</w:t>
            </w:r>
          </w:p>
          <w:p>
            <w:pPr>
              <w:widowControl w:val="0"/>
              <w:adjustRightInd w:val="0"/>
              <w:snapToGrid w:val="0"/>
              <w:spacing w:after="0" w:line="280" w:lineRule="exact"/>
              <w:jc w:val="left"/>
              <w:rPr>
                <w:rFonts w:ascii="Times New Roman" w:hAnsi="Times New Roman" w:eastAsia="仿宋" w:cs="Times New Roman"/>
                <w:color w:val="auto"/>
                <w:kern w:val="0"/>
                <w:sz w:val="22"/>
                <w:szCs w:val="21"/>
                <w:highlight w:val="none"/>
              </w:rPr>
            </w:pPr>
            <w:r>
              <w:rPr>
                <w:rFonts w:ascii="Times New Roman" w:hAnsi="Times New Roman" w:eastAsia="仿宋" w:cs="Times New Roman"/>
                <w:color w:val="auto"/>
                <w:kern w:val="0"/>
                <w:sz w:val="22"/>
                <w:szCs w:val="21"/>
                <w:highlight w:val="none"/>
              </w:rPr>
              <w:t>大于</w:t>
            </w:r>
            <w:r>
              <w:rPr>
                <w:rFonts w:hint="eastAsia" w:ascii="Times New Roman" w:hAnsi="Times New Roman" w:eastAsia="仿宋" w:cs="Times New Roman"/>
                <w:color w:val="auto"/>
                <w:kern w:val="0"/>
                <w:sz w:val="22"/>
                <w:szCs w:val="21"/>
                <w:highlight w:val="none"/>
                <w:lang w:val="en-US" w:eastAsia="zh-CN"/>
              </w:rPr>
              <w:t>2</w:t>
            </w:r>
            <w:r>
              <w:rPr>
                <w:rFonts w:ascii="Times New Roman" w:hAnsi="Times New Roman" w:eastAsia="仿宋" w:cs="Times New Roman"/>
                <w:color w:val="auto"/>
                <w:kern w:val="0"/>
                <w:sz w:val="22"/>
                <w:szCs w:val="21"/>
                <w:highlight w:val="none"/>
              </w:rPr>
              <w:t>0%</w:t>
            </w:r>
            <w:r>
              <w:rPr>
                <w:rFonts w:hint="eastAsia" w:ascii="Times New Roman" w:hAnsi="Times New Roman" w:eastAsia="仿宋" w:cs="Times New Roman"/>
                <w:color w:val="auto"/>
                <w:kern w:val="0"/>
                <w:sz w:val="22"/>
                <w:szCs w:val="21"/>
                <w:highlight w:val="none"/>
                <w:lang w:eastAsia="zh-CN"/>
              </w:rPr>
              <w:t>：</w:t>
            </w:r>
            <w:r>
              <w:rPr>
                <w:rFonts w:ascii="Times New Roman" w:hAnsi="Times New Roman" w:eastAsia="仿宋" w:cs="Times New Roman"/>
                <w:color w:val="auto"/>
                <w:kern w:val="0"/>
                <w:sz w:val="22"/>
                <w:szCs w:val="21"/>
                <w:highlight w:val="none"/>
              </w:rPr>
              <w:t>0分</w:t>
            </w:r>
          </w:p>
        </w:tc>
        <w:tc>
          <w:tcPr>
            <w:tcW w:w="699" w:type="dxa"/>
            <w:noWrap/>
            <w:vAlign w:val="top"/>
          </w:tcPr>
          <w:p>
            <w:pPr>
              <w:widowControl w:val="0"/>
              <w:adjustRightInd w:val="0"/>
              <w:snapToGrid w:val="0"/>
              <w:spacing w:after="0"/>
              <w:jc w:val="center"/>
              <w:rPr>
                <w:rFonts w:ascii="Times New Roman" w:hAnsi="Times New Roman" w:eastAsia="仿宋" w:cs="Times New Roman"/>
                <w:color w:val="auto"/>
                <w:kern w:val="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190" w:type="dxa"/>
            <w:gridSpan w:val="2"/>
            <w:noWrap/>
            <w:vAlign w:val="center"/>
          </w:tcPr>
          <w:p>
            <w:pPr>
              <w:widowControl w:val="0"/>
              <w:adjustRightInd w:val="0"/>
              <w:snapToGrid w:val="0"/>
              <w:spacing w:after="0" w:line="320" w:lineRule="exact"/>
              <w:jc w:val="center"/>
              <w:rPr>
                <w:rFonts w:ascii="Times New Roman" w:hAnsi="Times New Roman" w:eastAsia="仿宋" w:cs="Times New Roman"/>
                <w:color w:val="auto"/>
                <w:kern w:val="0"/>
                <w:sz w:val="28"/>
                <w:szCs w:val="28"/>
                <w:highlight w:val="none"/>
              </w:rPr>
            </w:pPr>
            <w:r>
              <w:rPr>
                <w:rFonts w:ascii="Times New Roman" w:hAnsi="Times New Roman" w:eastAsia="黑体" w:cs="Times New Roman"/>
                <w:color w:val="auto"/>
                <w:kern w:val="0"/>
                <w:sz w:val="24"/>
                <w:highlight w:val="none"/>
              </w:rPr>
              <w:t>合计分数</w:t>
            </w:r>
          </w:p>
        </w:tc>
        <w:tc>
          <w:tcPr>
            <w:tcW w:w="6572" w:type="dxa"/>
            <w:gridSpan w:val="5"/>
            <w:noWrap/>
            <w:vAlign w:val="center"/>
          </w:tcPr>
          <w:p>
            <w:pPr>
              <w:widowControl w:val="0"/>
              <w:adjustRightInd w:val="0"/>
              <w:snapToGrid w:val="0"/>
              <w:spacing w:after="0"/>
              <w:jc w:val="center"/>
              <w:rPr>
                <w:rFonts w:ascii="Times New Roman" w:hAnsi="Times New Roman" w:eastAsia="黑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190" w:type="dxa"/>
            <w:gridSpan w:val="2"/>
            <w:noWrap/>
            <w:vAlign w:val="center"/>
          </w:tcPr>
          <w:p>
            <w:pPr>
              <w:widowControl w:val="0"/>
              <w:adjustRightInd w:val="0"/>
              <w:snapToGrid w:val="0"/>
              <w:spacing w:after="0" w:line="320" w:lineRule="exact"/>
              <w:jc w:val="center"/>
              <w:rPr>
                <w:rFonts w:hint="eastAsia" w:ascii="Times New Roman" w:hAnsi="Times New Roman" w:eastAsia="黑体" w:cs="Times New Roman"/>
                <w:color w:val="auto"/>
                <w:kern w:val="0"/>
                <w:sz w:val="24"/>
                <w:szCs w:val="22"/>
                <w:highlight w:val="none"/>
                <w:lang w:val="en-US" w:eastAsia="zh-CN" w:bidi="ar-SA"/>
              </w:rPr>
            </w:pPr>
            <w:r>
              <w:rPr>
                <w:rFonts w:hint="eastAsia" w:ascii="Times New Roman" w:hAnsi="Times New Roman" w:eastAsia="黑体" w:cs="Times New Roman"/>
                <w:color w:val="auto"/>
                <w:kern w:val="0"/>
                <w:sz w:val="24"/>
                <w:highlight w:val="none"/>
                <w:lang w:eastAsia="zh-CN"/>
              </w:rPr>
              <w:t>不良记录</w:t>
            </w:r>
          </w:p>
        </w:tc>
        <w:tc>
          <w:tcPr>
            <w:tcW w:w="6572" w:type="dxa"/>
            <w:gridSpan w:val="5"/>
            <w:noWrap/>
            <w:vAlign w:val="center"/>
          </w:tcPr>
          <w:p>
            <w:pPr>
              <w:widowControl w:val="0"/>
              <w:adjustRightInd w:val="0"/>
              <w:snapToGrid w:val="0"/>
              <w:spacing w:after="0"/>
              <w:jc w:val="center"/>
              <w:rPr>
                <w:rFonts w:hint="eastAsia" w:ascii="Times New Roman" w:hAnsi="Times New Roman" w:eastAsia="黑体" w:cs="Times New Roman"/>
                <w:color w:val="auto"/>
                <w:kern w:val="0"/>
                <w:sz w:val="24"/>
                <w:szCs w:val="22"/>
                <w:highlight w:val="none"/>
                <w:lang w:val="en-US" w:eastAsia="zh-CN" w:bidi="ar-SA"/>
              </w:rPr>
            </w:pPr>
            <w:r>
              <w:rPr>
                <w:rFonts w:hint="eastAsia" w:ascii="Times New Roman" w:hAnsi="Times New Roman" w:eastAsia="仿宋" w:cs="Times New Roman"/>
                <w:color w:val="auto"/>
                <w:kern w:val="0"/>
                <w:sz w:val="24"/>
                <w:highlight w:val="none"/>
                <w:lang w:eastAsia="zh-CN"/>
              </w:rPr>
              <w:t>如存在十二、十三、十四条中情形，请具体说明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190" w:type="dxa"/>
            <w:gridSpan w:val="2"/>
            <w:noWrap/>
            <w:vAlign w:val="center"/>
          </w:tcPr>
          <w:p>
            <w:pPr>
              <w:widowControl w:val="0"/>
              <w:adjustRightInd w:val="0"/>
              <w:snapToGrid w:val="0"/>
              <w:spacing w:after="0"/>
              <w:jc w:val="center"/>
              <w:rPr>
                <w:rFonts w:ascii="Times New Roman" w:hAnsi="Times New Roman" w:eastAsia="黑体" w:cs="Times New Roman"/>
                <w:color w:val="auto"/>
                <w:kern w:val="0"/>
                <w:sz w:val="24"/>
                <w:highlight w:val="none"/>
              </w:rPr>
            </w:pPr>
            <w:r>
              <w:rPr>
                <w:rFonts w:hint="eastAsia" w:ascii="Times New Roman" w:hAnsi="Times New Roman" w:eastAsia="仿宋" w:cs="Times New Roman"/>
                <w:b/>
                <w:bCs/>
                <w:color w:val="auto"/>
                <w:kern w:val="0"/>
                <w:sz w:val="24"/>
                <w:highlight w:val="none"/>
                <w:lang w:val="en-US" w:eastAsia="zh-CN"/>
              </w:rPr>
              <w:t>评价人（评价单位）</w:t>
            </w:r>
          </w:p>
        </w:tc>
        <w:tc>
          <w:tcPr>
            <w:tcW w:w="3038" w:type="dxa"/>
            <w:noWrap/>
            <w:vAlign w:val="center"/>
          </w:tcPr>
          <w:p>
            <w:pPr>
              <w:widowControl w:val="0"/>
              <w:adjustRightInd w:val="0"/>
              <w:snapToGrid w:val="0"/>
              <w:spacing w:after="0"/>
              <w:jc w:val="center"/>
              <w:rPr>
                <w:rFonts w:ascii="Times New Roman" w:hAnsi="Times New Roman" w:eastAsia="黑体" w:cs="Times New Roman"/>
                <w:color w:val="auto"/>
                <w:kern w:val="0"/>
                <w:sz w:val="24"/>
                <w:highlight w:val="none"/>
              </w:rPr>
            </w:pPr>
          </w:p>
        </w:tc>
        <w:tc>
          <w:tcPr>
            <w:tcW w:w="1342" w:type="dxa"/>
            <w:gridSpan w:val="2"/>
            <w:noWrap/>
            <w:vAlign w:val="center"/>
          </w:tcPr>
          <w:p>
            <w:pPr>
              <w:widowControl w:val="0"/>
              <w:adjustRightInd w:val="0"/>
              <w:snapToGrid w:val="0"/>
              <w:spacing w:after="0"/>
              <w:jc w:val="center"/>
              <w:rPr>
                <w:rFonts w:ascii="Times New Roman" w:hAnsi="Times New Roman" w:eastAsia="黑体" w:cs="Times New Roman"/>
                <w:color w:val="auto"/>
                <w:kern w:val="0"/>
                <w:sz w:val="24"/>
                <w:highlight w:val="none"/>
              </w:rPr>
            </w:pPr>
            <w:r>
              <w:rPr>
                <w:rFonts w:hint="eastAsia" w:ascii="Times New Roman" w:hAnsi="Times New Roman" w:eastAsia="仿宋" w:cs="Times New Roman"/>
                <w:b/>
                <w:bCs/>
                <w:color w:val="auto"/>
                <w:kern w:val="0"/>
                <w:sz w:val="24"/>
                <w:highlight w:val="none"/>
                <w:lang w:val="en-US" w:eastAsia="zh-CN"/>
              </w:rPr>
              <w:t>评价时间</w:t>
            </w:r>
          </w:p>
        </w:tc>
        <w:tc>
          <w:tcPr>
            <w:tcW w:w="2192" w:type="dxa"/>
            <w:gridSpan w:val="2"/>
            <w:noWrap/>
            <w:vAlign w:val="center"/>
          </w:tcPr>
          <w:p>
            <w:pPr>
              <w:widowControl w:val="0"/>
              <w:adjustRightInd w:val="0"/>
              <w:snapToGrid w:val="0"/>
              <w:spacing w:after="0"/>
              <w:jc w:val="center"/>
              <w:rPr>
                <w:rFonts w:ascii="Times New Roman" w:hAnsi="Times New Roman" w:eastAsia="黑体" w:cs="Times New Roman"/>
                <w:color w:val="auto"/>
                <w:kern w:val="0"/>
                <w:sz w:val="24"/>
                <w:highlight w:val="none"/>
              </w:rPr>
            </w:pPr>
          </w:p>
        </w:tc>
      </w:tr>
    </w:tbl>
    <w:p>
      <w:pPr>
        <w:widowControl w:val="0"/>
        <w:adjustRightInd/>
        <w:snapToGrid/>
        <w:spacing w:after="0"/>
        <w:ind w:firstLine="482" w:firstLineChars="200"/>
        <w:jc w:val="left"/>
        <w:rPr>
          <w:rFonts w:ascii="Times New Roman" w:hAnsi="Times New Roman" w:eastAsia="仿宋" w:cs="Times New Roman"/>
          <w:b/>
          <w:bCs/>
          <w:color w:val="auto"/>
          <w:kern w:val="0"/>
          <w:sz w:val="24"/>
          <w:highlight w:val="none"/>
        </w:rPr>
      </w:pPr>
    </w:p>
    <w:p>
      <w:pPr>
        <w:widowControl w:val="0"/>
        <w:adjustRightInd/>
        <w:snapToGrid/>
        <w:spacing w:after="0"/>
        <w:ind w:firstLine="482" w:firstLineChars="200"/>
        <w:jc w:val="left"/>
        <w:rPr>
          <w:rFonts w:ascii="Times New Roman" w:hAnsi="Times New Roman" w:eastAsia="仿宋" w:cs="Times New Roman"/>
          <w:color w:val="auto"/>
          <w:kern w:val="0"/>
          <w:sz w:val="24"/>
          <w:highlight w:val="none"/>
        </w:rPr>
      </w:pPr>
      <w:r>
        <w:rPr>
          <w:rFonts w:ascii="Times New Roman" w:hAnsi="Times New Roman" w:eastAsia="仿宋" w:cs="Times New Roman"/>
          <w:b/>
          <w:bCs/>
          <w:color w:val="auto"/>
          <w:kern w:val="0"/>
          <w:sz w:val="24"/>
          <w:highlight w:val="none"/>
        </w:rPr>
        <w:t>填报说明：</w:t>
      </w:r>
      <w:r>
        <w:rPr>
          <w:rFonts w:ascii="Times New Roman" w:hAnsi="Times New Roman" w:eastAsia="仿宋" w:cs="Times New Roman"/>
          <w:color w:val="auto"/>
          <w:kern w:val="0"/>
          <w:sz w:val="24"/>
          <w:highlight w:val="none"/>
        </w:rPr>
        <w:t>评估说明内容的完整性、合理性打分部分，如果采用两种评估方法进行评估，两种评估方法的分值分别为20分，整体情况分值为5分。如果只采用一种评估方法进行评估，则该评估方法的分值为40分，整体情况分值为5分。</w:t>
      </w:r>
    </w:p>
    <w:p>
      <w:pPr>
        <w:widowControl w:val="0"/>
        <w:adjustRightInd/>
        <w:snapToGrid/>
        <w:spacing w:after="0"/>
        <w:ind w:firstLine="482" w:firstLineChars="200"/>
        <w:jc w:val="left"/>
        <w:rPr>
          <w:rFonts w:ascii="Tahoma" w:hAnsi="Tahoma" w:eastAsia="微软雅黑" w:cs="宋体"/>
          <w:color w:val="auto"/>
          <w:kern w:val="0"/>
          <w:sz w:val="22"/>
          <w:highlight w:val="none"/>
        </w:rPr>
      </w:pPr>
      <w:r>
        <w:rPr>
          <w:rFonts w:hint="eastAsia" w:ascii="Times New Roman" w:hAnsi="Times New Roman" w:eastAsia="仿宋" w:cs="Times New Roman"/>
          <w:b/>
          <w:bCs/>
          <w:color w:val="auto"/>
          <w:kern w:val="0"/>
          <w:sz w:val="24"/>
          <w:highlight w:val="none"/>
          <w:lang w:val="en-US" w:eastAsia="zh-CN"/>
        </w:rPr>
        <w:t>注：排名评价结果（由“智慧国资”系统统一处理）：合计分数×</w:t>
      </w:r>
      <w:r>
        <w:rPr>
          <w:rFonts w:hint="eastAsia" w:ascii="Times New Roman" w:hAnsi="Times New Roman" w:eastAsia="仿宋" w:cs="Times New Roman"/>
          <w:color w:val="auto"/>
          <w:kern w:val="0"/>
          <w:sz w:val="24"/>
          <w:highlight w:val="none"/>
          <w:lang w:eastAsia="zh-CN"/>
        </w:rPr>
        <w:t>部分资产评估修正系数</w:t>
      </w:r>
      <w:r>
        <w:rPr>
          <w:rFonts w:hint="eastAsia" w:ascii="Times New Roman" w:hAnsi="Times New Roman" w:eastAsia="仿宋" w:cs="Times New Roman"/>
          <w:color w:val="auto"/>
          <w:kern w:val="0"/>
          <w:sz w:val="24"/>
          <w:highlight w:val="none"/>
          <w:lang w:val="en-US" w:eastAsia="zh-CN"/>
        </w:rPr>
        <w:t>×资产规模修正系数。</w:t>
      </w:r>
      <w:r>
        <w:rPr>
          <w:rFonts w:hint="eastAsia" w:ascii="Times New Roman" w:hAnsi="Times New Roman" w:eastAsia="仿宋" w:cs="Times New Roman"/>
          <w:color w:val="auto"/>
          <w:kern w:val="0"/>
          <w:sz w:val="24"/>
          <w:highlight w:val="none"/>
          <w:lang w:eastAsia="zh-CN"/>
        </w:rPr>
        <w:t>部分资产评估修正系数为</w:t>
      </w:r>
      <w:r>
        <w:rPr>
          <w:rFonts w:hint="eastAsia" w:ascii="Times New Roman" w:hAnsi="Times New Roman" w:eastAsia="仿宋" w:cs="Times New Roman"/>
          <w:color w:val="auto"/>
          <w:kern w:val="0"/>
          <w:sz w:val="24"/>
          <w:highlight w:val="none"/>
          <w:lang w:val="en-US" w:eastAsia="zh-CN"/>
        </w:rPr>
        <w:t>0.9；资产规模修正系数（资产评估值低于５千万为０.９，10亿-100亿元为1.05，高于100亿元为１.１）。</w:t>
      </w:r>
    </w:p>
    <w:p>
      <w:pPr>
        <w:keepNext w:val="0"/>
        <w:keepLines w:val="0"/>
        <w:pageBreakBefore w:val="0"/>
        <w:kinsoku/>
        <w:overflowPunct/>
        <w:topLinePunct w:val="0"/>
        <w:autoSpaceDE/>
        <w:autoSpaceDN/>
        <w:bidi w:val="0"/>
        <w:spacing w:line="560" w:lineRule="exact"/>
        <w:textAlignment w:val="auto"/>
        <w:rPr>
          <w:color w:val="auto"/>
          <w:highlight w:val="none"/>
        </w:rPr>
      </w:pPr>
    </w:p>
    <w:sectPr>
      <w:footerReference r:id="rId3"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NmY2ODg2ZTNkNDFmYWRjMGNhNjk4MDBmY2NjZTQifQ=="/>
  </w:docVars>
  <w:rsids>
    <w:rsidRoot w:val="00000000"/>
    <w:rsid w:val="06E4288E"/>
    <w:rsid w:val="13AA2A45"/>
    <w:rsid w:val="2EE75746"/>
    <w:rsid w:val="7BC00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jc w:val="left"/>
    </w:pPr>
    <w:rPr>
      <w:rFonts w:ascii="Calibri" w:hAnsi="Calibri" w:eastAsia="仿宋" w:cs="Times New Roman"/>
      <w:kern w:val="0"/>
      <w:sz w:val="24"/>
      <w:szCs w:val="32"/>
    </w:rPr>
  </w:style>
  <w:style w:type="paragraph" w:customStyle="1" w:styleId="6">
    <w:name w:val="正文首行缩进 21"/>
    <w:basedOn w:val="1"/>
    <w:qFormat/>
    <w:uiPriority w:val="0"/>
    <w:pPr>
      <w:spacing w:after="120"/>
      <w:ind w:left="420" w:leftChars="200" w:firstLine="4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7173</Words>
  <Characters>7489</Characters>
  <Lines>0</Lines>
  <Paragraphs>0</Paragraphs>
  <TotalTime>2</TotalTime>
  <ScaleCrop>false</ScaleCrop>
  <LinksUpToDate>false</LinksUpToDate>
  <CharactersWithSpaces>7516</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2024-08-09T11:12:00Z</dcterms:created>
  <dc:creator>Administrator</dc:creator>
  <cp:lastModifiedBy>wps</cp:lastModifiedBy>
  <dcterms:modified xsi:type="dcterms:W3CDTF">2024-08-09T11:56:27Z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E8EE966403B94C3EAC7CFD3939027E67_12</vt:lpwstr>
  </property>
</Properties>
</file>