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天津市人民政府国有资产监督管理委员会</w:t>
      </w:r>
      <w:r>
        <w:rPr>
          <w:rFonts w:hint="eastAsia" w:ascii="方正小标宋简体" w:hAnsi="方正小标宋_GBK" w:eastAsia="方正小标宋简体" w:cs="方正小标宋_GBK"/>
          <w:sz w:val="56"/>
          <w:szCs w:val="56"/>
          <w:lang w:val="en-US" w:eastAsia="zh-CN"/>
        </w:rPr>
        <w:t>(本级）</w:t>
      </w: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fldChar w:fldCharType="end"/>
      </w:r>
      <w:r>
        <w:fldChar w:fldCharType="begin"/>
      </w:r>
      <w:r>
        <w:instrText xml:space="preserve"> HYPERLINK \l "_Toc_4_4_0000000005" </w:instrText>
      </w:r>
      <w:r>
        <w:fldChar w:fldCharType="separate"/>
      </w:r>
      <w:r>
        <w:t>2025年度市国资委重点业务保障项目绩效目标表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rPr>
          <w:rFonts w:hint="eastAsia"/>
          <w:lang w:val="en-US" w:eastAsia="zh-CN"/>
        </w:rPr>
        <w:t>2</w:t>
      </w:r>
      <w:r>
        <w:t>.2025年度增强城投集团资本实力绩效目标表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rPr>
          <w:rFonts w:hint="eastAsia"/>
          <w:lang w:val="en-US" w:eastAsia="zh-CN"/>
        </w:rPr>
        <w:t>3</w:t>
      </w:r>
      <w:r>
        <w:t>.补充民生企业（公交集团）2025年资本实力绩效目标表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rPr>
          <w:rFonts w:hint="eastAsia"/>
          <w:lang w:val="en-US" w:eastAsia="zh-CN"/>
        </w:rPr>
        <w:t>4</w:t>
      </w:r>
      <w:r>
        <w:t>.陈塘庄热电厂搬迁一般债还息绩效目标表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rPr>
          <w:rFonts w:hint="eastAsia"/>
          <w:lang w:val="en-US" w:eastAsia="zh-CN"/>
        </w:rPr>
        <w:t>5</w:t>
      </w:r>
      <w:r>
        <w:t>.地方政府专项债券付息（土地政府收益）绩效目标表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rPr>
          <w:rFonts w:hint="eastAsia"/>
          <w:lang w:val="en-US" w:eastAsia="zh-CN"/>
        </w:rPr>
        <w:t>6</w:t>
      </w:r>
      <w:r>
        <w:t>.公交集团资本性支出项目（债券还息）绩效目标表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rPr>
          <w:rFonts w:hint="eastAsia"/>
          <w:lang w:val="en-US" w:eastAsia="zh-CN"/>
        </w:rPr>
        <w:t>7</w:t>
      </w:r>
      <w:r>
        <w:t>.国有企业职教幼教教师待遇问题经费（2025年地方）绩效目标表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rPr>
          <w:rFonts w:hint="eastAsia"/>
          <w:lang w:val="en-US" w:eastAsia="zh-CN"/>
        </w:rPr>
        <w:t>8</w:t>
      </w:r>
      <w:r>
        <w:t>.国有企业职教幼教教师待遇问题经费（2025年中央）绩效目标表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rPr>
          <w:rFonts w:hint="eastAsia"/>
          <w:lang w:val="en-US" w:eastAsia="zh-CN"/>
        </w:rPr>
        <w:t>9</w:t>
      </w:r>
      <w:r>
        <w:t>.国资两委2025年度履职保障项目绩效目标表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w:t>
      </w:r>
      <w:r>
        <w:rPr>
          <w:rFonts w:hint="eastAsia"/>
          <w:lang w:val="en-US" w:eastAsia="zh-CN"/>
        </w:rPr>
        <w:t>0</w:t>
      </w:r>
      <w:r>
        <w:t>.京津冀协同发展污染防治“两化”治理项目政府债2025年利息绩效目标表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w:t>
      </w:r>
      <w:r>
        <w:rPr>
          <w:rFonts w:hint="eastAsia"/>
          <w:lang w:val="en-US" w:eastAsia="zh-CN"/>
        </w:rPr>
        <w:t>1</w:t>
      </w:r>
      <w:r>
        <w:t>.市国资委2025年度信息化运行维护项目绩效目标表</w:t>
      </w:r>
      <w:r>
        <w:fldChar w:fldCharType="end"/>
      </w:r>
    </w:p>
    <w:p>
      <w:pPr>
        <w:pStyle w:val="17"/>
        <w:tabs>
          <w:tab w:val="right" w:leader="dot" w:pos="9282"/>
        </w:tabs>
      </w:pPr>
      <w:r>
        <w:fldChar w:fldCharType="begin"/>
      </w:r>
      <w:r>
        <w:instrText xml:space="preserve"> HYPERLINK \l "_Toc_4_4_0000000024" </w:instrText>
      </w:r>
      <w:r>
        <w:fldChar w:fldCharType="separate"/>
      </w:r>
      <w:r>
        <w:rPr>
          <w:rFonts w:hint="eastAsia"/>
          <w:lang w:val="en-US" w:eastAsia="zh-CN"/>
        </w:rPr>
        <w:t>12</w:t>
      </w:r>
      <w:r>
        <w:t>.天咨集团事转企退坡资金绩效目标表</w:t>
      </w:r>
      <w:r>
        <w:fldChar w:fldCharType="end"/>
      </w:r>
    </w:p>
    <w:p>
      <w:pPr>
        <w:pStyle w:val="17"/>
        <w:tabs>
          <w:tab w:val="right" w:leader="dot" w:pos="9282"/>
        </w:tabs>
      </w:pPr>
      <w:r>
        <w:fldChar w:fldCharType="begin"/>
      </w:r>
      <w:r>
        <w:instrText xml:space="preserve"> HYPERLINK \l "_Toc_4_4_0000000026" </w:instrText>
      </w:r>
      <w:r>
        <w:fldChar w:fldCharType="separate"/>
      </w:r>
      <w:r>
        <w:rPr>
          <w:rFonts w:hint="eastAsia"/>
          <w:lang w:val="en-US" w:eastAsia="zh-CN"/>
        </w:rPr>
        <w:t>13</w:t>
      </w:r>
      <w:r>
        <w:t>.增强渤化集团2025年资本实力（氢氟醚二期项目）绩效目标表</w:t>
      </w:r>
      <w:r>
        <w:fldChar w:fldCharType="end"/>
      </w:r>
    </w:p>
    <w:p>
      <w:pPr>
        <w:pStyle w:val="17"/>
        <w:tabs>
          <w:tab w:val="right" w:leader="dot" w:pos="9282"/>
        </w:tabs>
      </w:pPr>
      <w:r>
        <w:fldChar w:fldCharType="begin"/>
      </w:r>
      <w:r>
        <w:instrText xml:space="preserve"> HYPERLINK \l "_Toc_4_4_0000000027" </w:instrText>
      </w:r>
      <w:r>
        <w:fldChar w:fldCharType="separate"/>
      </w:r>
      <w:r>
        <w:rPr>
          <w:rFonts w:hint="eastAsia"/>
          <w:lang w:val="en-US" w:eastAsia="zh-CN"/>
        </w:rPr>
        <w:t>14</w:t>
      </w:r>
      <w:r>
        <w:t>.增强公交集团资本实力（2025年）绩效目标表</w:t>
      </w:r>
      <w:r>
        <w:fldChar w:fldCharType="end"/>
      </w:r>
    </w:p>
    <w:p>
      <w:pPr>
        <w:pStyle w:val="17"/>
        <w:tabs>
          <w:tab w:val="right" w:leader="dot" w:pos="9282"/>
        </w:tabs>
      </w:pPr>
      <w:r>
        <w:fldChar w:fldCharType="begin"/>
      </w:r>
      <w:r>
        <w:instrText xml:space="preserve"> HYPERLINK \l "_Toc_4_4_0000000028" </w:instrText>
      </w:r>
      <w:r>
        <w:fldChar w:fldCharType="separate"/>
      </w:r>
      <w:r>
        <w:rPr>
          <w:rFonts w:hint="eastAsia"/>
          <w:lang w:val="en-US" w:eastAsia="zh-CN"/>
        </w:rPr>
        <w:t>15</w:t>
      </w:r>
      <w:r>
        <w:t>.增强公交集团资本实力（2025年度）绩效目标表</w:t>
      </w:r>
      <w:r>
        <w:fldChar w:fldCharType="end"/>
      </w:r>
    </w:p>
    <w:p>
      <w:pPr>
        <w:pStyle w:val="17"/>
        <w:tabs>
          <w:tab w:val="right" w:leader="dot" w:pos="9282"/>
        </w:tabs>
      </w:pPr>
      <w:r>
        <w:fldChar w:fldCharType="begin"/>
      </w:r>
      <w:r>
        <w:instrText xml:space="preserve"> HYPERLINK \l "_Toc_4_4_0000000029" </w:instrText>
      </w:r>
      <w:r>
        <w:fldChar w:fldCharType="separate"/>
      </w:r>
      <w:r>
        <w:rPr>
          <w:rFonts w:hint="eastAsia"/>
          <w:lang w:val="en-US" w:eastAsia="zh-CN"/>
        </w:rPr>
        <w:t>16</w:t>
      </w:r>
      <w:r>
        <w:t>.增强轨道集团资本实力（2025年度）绩效目标表</w:t>
      </w:r>
      <w:bookmarkStart w:id="23" w:name="_GoBack"/>
      <w:bookmarkEnd w:id="23"/>
      <w:r>
        <w:fldChar w:fldCharType="end"/>
      </w:r>
    </w:p>
    <w:p>
      <w:pPr>
        <w:pStyle w:val="17"/>
        <w:tabs>
          <w:tab w:val="right" w:leader="dot" w:pos="9282"/>
        </w:tabs>
      </w:pPr>
      <w:r>
        <w:fldChar w:fldCharType="begin"/>
      </w:r>
      <w:r>
        <w:instrText xml:space="preserve"> HYPERLINK \l "_Toc_4_4_0000000030" </w:instrText>
      </w:r>
      <w:r>
        <w:fldChar w:fldCharType="separate"/>
      </w:r>
      <w:r>
        <w:rPr>
          <w:rFonts w:hint="eastAsia"/>
          <w:lang w:val="en-US" w:eastAsia="zh-CN"/>
        </w:rPr>
        <w:t>17</w:t>
      </w:r>
      <w:r>
        <w:t>.增强宏达公司资本实力(2025年)绩效目标表</w:t>
      </w:r>
      <w:r>
        <w:fldChar w:fldCharType="end"/>
      </w:r>
    </w:p>
    <w:p>
      <w:pPr>
        <w:pStyle w:val="17"/>
        <w:tabs>
          <w:tab w:val="right" w:leader="dot" w:pos="9282"/>
        </w:tabs>
      </w:pPr>
      <w:r>
        <w:fldChar w:fldCharType="begin"/>
      </w:r>
      <w:r>
        <w:instrText xml:space="preserve"> HYPERLINK \l "_Toc_4_4_0000000031" </w:instrText>
      </w:r>
      <w:r>
        <w:fldChar w:fldCharType="separate"/>
      </w:r>
      <w:r>
        <w:rPr>
          <w:rFonts w:hint="eastAsia"/>
          <w:lang w:val="en-US" w:eastAsia="zh-CN"/>
        </w:rPr>
        <w:t>18</w:t>
      </w:r>
      <w:r>
        <w:t>.增强旅游集团2025年资本实力（利顺德历史文化景区提升改造项目）绩效目标表</w:t>
      </w:r>
      <w:r>
        <w:fldChar w:fldCharType="end"/>
      </w:r>
    </w:p>
    <w:p>
      <w:pPr>
        <w:pStyle w:val="17"/>
        <w:tabs>
          <w:tab w:val="right" w:leader="dot" w:pos="9282"/>
        </w:tabs>
      </w:pPr>
      <w:r>
        <w:fldChar w:fldCharType="begin"/>
      </w:r>
      <w:r>
        <w:instrText xml:space="preserve"> HYPERLINK \l "_Toc_4_4_0000000032" </w:instrText>
      </w:r>
      <w:r>
        <w:fldChar w:fldCharType="separate"/>
      </w:r>
      <w:r>
        <w:rPr>
          <w:rFonts w:hint="eastAsia"/>
          <w:lang w:val="en-US" w:eastAsia="zh-CN"/>
        </w:rPr>
        <w:t>19</w:t>
      </w:r>
      <w:r>
        <w:t>.增强食品集团2025年资本实力（天食利民调料番茄酱原料基地项目）绩效目标表</w:t>
      </w:r>
      <w:r>
        <w:fldChar w:fldCharType="end"/>
      </w:r>
    </w:p>
    <w:p>
      <w:pPr>
        <w:pStyle w:val="17"/>
        <w:tabs>
          <w:tab w:val="right" w:leader="dot" w:pos="9282"/>
        </w:tabs>
      </w:pPr>
      <w:r>
        <w:fldChar w:fldCharType="begin"/>
      </w:r>
      <w:r>
        <w:instrText xml:space="preserve"> HYPERLINK \l "_Toc_4_4_0000000033" </w:instrText>
      </w:r>
      <w:r>
        <w:fldChar w:fldCharType="separate"/>
      </w:r>
      <w:r>
        <w:rPr>
          <w:rFonts w:hint="eastAsia"/>
          <w:lang w:val="en-US" w:eastAsia="zh-CN"/>
        </w:rPr>
        <w:t>20</w:t>
      </w:r>
      <w:r>
        <w:t>.增强泰达控股2025年资本实力（基于增量配电网的吉瓦时以上长时储能电站项目）绩效目标表</w:t>
      </w:r>
      <w:r>
        <w:fldChar w:fldCharType="end"/>
      </w:r>
    </w:p>
    <w:p>
      <w:pPr>
        <w:pStyle w:val="17"/>
        <w:tabs>
          <w:tab w:val="right" w:leader="dot" w:pos="9282"/>
        </w:tabs>
      </w:pPr>
      <w:r>
        <w:fldChar w:fldCharType="begin"/>
      </w:r>
      <w:r>
        <w:instrText xml:space="preserve"> HYPERLINK \l "_Toc_4_4_0000000034" </w:instrText>
      </w:r>
      <w:r>
        <w:fldChar w:fldCharType="separate"/>
      </w:r>
      <w:r>
        <w:rPr>
          <w:rFonts w:hint="eastAsia"/>
          <w:lang w:val="en-US" w:eastAsia="zh-CN"/>
        </w:rPr>
        <w:t>21</w:t>
      </w:r>
      <w:r>
        <w:t>.增强泰达控股资本实力（2025年）绩效目标表</w:t>
      </w:r>
      <w:r>
        <w:fldChar w:fldCharType="end"/>
      </w:r>
    </w:p>
    <w:p>
      <w:pPr>
        <w:pStyle w:val="17"/>
        <w:tabs>
          <w:tab w:val="right" w:leader="dot" w:pos="9282"/>
        </w:tabs>
      </w:pPr>
      <w:r>
        <w:fldChar w:fldCharType="begin"/>
      </w:r>
      <w:r>
        <w:instrText xml:space="preserve"> HYPERLINK \l "_Toc_4_4_0000000035" </w:instrText>
      </w:r>
      <w:r>
        <w:fldChar w:fldCharType="separate"/>
      </w:r>
      <w:r>
        <w:rPr>
          <w:rFonts w:hint="eastAsia"/>
          <w:lang w:val="en-US" w:eastAsia="zh-CN"/>
        </w:rPr>
        <w:t>22</w:t>
      </w:r>
      <w:r>
        <w:t>.增强泰达控股资本实力（第一机床总厂及周边片区城市更新项目）绩效目标表</w:t>
      </w:r>
      <w:r>
        <w:fldChar w:fldCharType="end"/>
      </w:r>
    </w:p>
    <w:p>
      <w:pPr>
        <w:pStyle w:val="17"/>
        <w:tabs>
          <w:tab w:val="right" w:leader="dot" w:pos="9282"/>
        </w:tabs>
      </w:pPr>
      <w:r>
        <w:fldChar w:fldCharType="begin"/>
      </w:r>
      <w:r>
        <w:instrText xml:space="preserve"> HYPERLINK \l "_Toc_4_4_0000000036" </w:instrText>
      </w:r>
      <w:r>
        <w:fldChar w:fldCharType="separate"/>
      </w:r>
      <w:r>
        <w:rPr>
          <w:rFonts w:hint="eastAsia"/>
          <w:lang w:val="en-US" w:eastAsia="zh-CN"/>
        </w:rPr>
        <w:t>23</w:t>
      </w:r>
      <w:r>
        <w:t>.增强泰达控股资本实力（南门外大街商圈北部片区城市更新项目）绩效目标表</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p>
    <w:p>
      <w:pPr>
        <w:ind w:firstLine="560"/>
        <w:outlineLvl w:val="3"/>
      </w:pPr>
      <w:bookmarkStart w:id="0" w:name="_Toc_4_4_0000000005"/>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.2025年度市国资委重点业务保障项目绩效目标表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2025年度市国资委重点业务保障项目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用于保障国资委重点业务经费。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贯彻落实党中央、国务院决策部署和市委工作要求，以推进“十项”行动和“三新”“三量”等工作为抓手，以国企改革三年提质行动为契机，高质量完成我委2025年重点工作。主要包括：1.以落实“三量”、“三新”为重点，深化央地合作为目标，推动央企及二三级总部落户天津，持续推动京津冀协同发展走深走实，积极开展招商引资工作。2.积极开展监管企业司库体系建设及评估验收工作，指导企业开展财务标准化建设，并现场检查评估和分析评价。同时对企业报送的决算资料进行复审，并提出优化完善建议。3.以科技创新为引领，积极培育发展新质生产力，开展对核心项目的评审。4.以习近平总书记视察天津重要讲话精神和“四个善作善成”的要求为主要内容，为打好市国资2025年五大攻坚战，开展提升国资系统干部人才政治理论水平和专业能力培训。5.指导帮助国企及控股上市公司提升科学履责能力水平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《天津国资国企社会责任蓝皮书（2025）》编制数量</w:t>
            </w:r>
          </w:p>
        </w:tc>
        <w:tc>
          <w:tcPr>
            <w:tcW w:w="3430" w:type="dxa"/>
            <w:vAlign w:val="center"/>
          </w:tcPr>
          <w:p>
            <w:pPr>
              <w:pStyle w:val="12"/>
            </w:pPr>
            <w:r>
              <w:t>《天津国资国企社会责任蓝皮书（2025）》编制数量</w:t>
            </w:r>
          </w:p>
        </w:tc>
        <w:tc>
          <w:tcPr>
            <w:tcW w:w="2551" w:type="dxa"/>
            <w:vAlign w:val="center"/>
          </w:tcPr>
          <w:p>
            <w:pPr>
              <w:pStyle w:val="12"/>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推动编发社会责任（ESG）报告国企数量</w:t>
            </w:r>
          </w:p>
        </w:tc>
        <w:tc>
          <w:tcPr>
            <w:tcW w:w="3430" w:type="dxa"/>
            <w:vAlign w:val="center"/>
          </w:tcPr>
          <w:p>
            <w:pPr>
              <w:pStyle w:val="12"/>
            </w:pPr>
            <w:r>
              <w:t>推动编发社会责任（ESG）报告国企数量</w:t>
            </w:r>
          </w:p>
        </w:tc>
        <w:tc>
          <w:tcPr>
            <w:tcW w:w="2551" w:type="dxa"/>
            <w:vAlign w:val="center"/>
          </w:tcPr>
          <w:p>
            <w:pPr>
              <w:pStyle w:val="12"/>
            </w:pPr>
            <w:r>
              <w:t>≥25家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财会监管企业覆盖面</w:t>
            </w:r>
          </w:p>
        </w:tc>
        <w:tc>
          <w:tcPr>
            <w:tcW w:w="3430" w:type="dxa"/>
            <w:vAlign w:val="center"/>
          </w:tcPr>
          <w:p>
            <w:pPr>
              <w:pStyle w:val="12"/>
            </w:pPr>
            <w:r>
              <w:t>财会监管企业覆盖面</w:t>
            </w:r>
          </w:p>
        </w:tc>
        <w:tc>
          <w:tcPr>
            <w:tcW w:w="2551" w:type="dxa"/>
            <w:vAlign w:val="center"/>
          </w:tcPr>
          <w:p>
            <w:pPr>
              <w:pStyle w:val="12"/>
            </w:pPr>
            <w:r>
              <w:t>≥2000户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财会监督涵盖资产总额</w:t>
            </w:r>
          </w:p>
        </w:tc>
        <w:tc>
          <w:tcPr>
            <w:tcW w:w="3430" w:type="dxa"/>
            <w:vAlign w:val="center"/>
          </w:tcPr>
          <w:p>
            <w:pPr>
              <w:pStyle w:val="12"/>
            </w:pPr>
            <w:r>
              <w:t>财会监督涵盖资产总额</w:t>
            </w:r>
          </w:p>
        </w:tc>
        <w:tc>
          <w:tcPr>
            <w:tcW w:w="2551" w:type="dxa"/>
            <w:vAlign w:val="center"/>
          </w:tcPr>
          <w:p>
            <w:pPr>
              <w:pStyle w:val="12"/>
            </w:pPr>
            <w:r>
              <w:t>≥2.5万亿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聘请律师事务所数量</w:t>
            </w:r>
          </w:p>
        </w:tc>
        <w:tc>
          <w:tcPr>
            <w:tcW w:w="3430" w:type="dxa"/>
            <w:vAlign w:val="center"/>
          </w:tcPr>
          <w:p>
            <w:pPr>
              <w:pStyle w:val="12"/>
            </w:pPr>
            <w:r>
              <w:t>聘请律师事务所数量</w:t>
            </w:r>
          </w:p>
        </w:tc>
        <w:tc>
          <w:tcPr>
            <w:tcW w:w="2551" w:type="dxa"/>
            <w:vAlign w:val="center"/>
          </w:tcPr>
          <w:p>
            <w:pPr>
              <w:pStyle w:val="12"/>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建立社会责任发展和评价的指标体系</w:t>
            </w:r>
          </w:p>
        </w:tc>
        <w:tc>
          <w:tcPr>
            <w:tcW w:w="3430" w:type="dxa"/>
            <w:vAlign w:val="center"/>
          </w:tcPr>
          <w:p>
            <w:pPr>
              <w:pStyle w:val="12"/>
            </w:pPr>
            <w:r>
              <w:t>建立社会责任发展和评价的指标体系</w:t>
            </w:r>
          </w:p>
        </w:tc>
        <w:tc>
          <w:tcPr>
            <w:tcW w:w="2551" w:type="dxa"/>
            <w:vAlign w:val="center"/>
          </w:tcPr>
          <w:p>
            <w:pPr>
              <w:pStyle w:val="12"/>
            </w:pPr>
            <w:r>
              <w:t>建立符合天津国企的社会责任发展和评价的指标体系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在全部开展社会审计的子企业中，取得无保留意见审计报告的子企业数量占比</w:t>
            </w:r>
          </w:p>
        </w:tc>
        <w:tc>
          <w:tcPr>
            <w:tcW w:w="3430" w:type="dxa"/>
            <w:vAlign w:val="center"/>
          </w:tcPr>
          <w:p>
            <w:pPr>
              <w:pStyle w:val="12"/>
            </w:pPr>
            <w:r>
              <w:t>在全部开展社会审计的子企业中，取得无保留意见审计报告的子企业数量占比</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完成财务标准化建设的集团数量占比 </w:t>
            </w:r>
          </w:p>
        </w:tc>
        <w:tc>
          <w:tcPr>
            <w:tcW w:w="3430" w:type="dxa"/>
            <w:vAlign w:val="center"/>
          </w:tcPr>
          <w:p>
            <w:pPr>
              <w:pStyle w:val="12"/>
            </w:pPr>
            <w:r>
              <w:t xml:space="preserve">完成财务标准化建设的集团数量占比 </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建立司库管理体系的集团数量占比</w:t>
            </w:r>
          </w:p>
        </w:tc>
        <w:tc>
          <w:tcPr>
            <w:tcW w:w="3430" w:type="dxa"/>
            <w:vAlign w:val="center"/>
          </w:tcPr>
          <w:p>
            <w:pPr>
              <w:pStyle w:val="12"/>
            </w:pPr>
            <w:r>
              <w:t>建立司库管理体系的集团数量占比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提供法律服务的质量</w:t>
            </w:r>
          </w:p>
        </w:tc>
        <w:tc>
          <w:tcPr>
            <w:tcW w:w="3430" w:type="dxa"/>
            <w:vAlign w:val="center"/>
          </w:tcPr>
          <w:p>
            <w:pPr>
              <w:pStyle w:val="12"/>
            </w:pPr>
            <w:r>
              <w:t>提供法律服务的质量</w:t>
            </w:r>
          </w:p>
        </w:tc>
        <w:tc>
          <w:tcPr>
            <w:tcW w:w="2551" w:type="dxa"/>
            <w:vAlign w:val="center"/>
          </w:tcPr>
          <w:p>
            <w:pPr>
              <w:pStyle w:val="12"/>
            </w:pPr>
            <w:r>
              <w:t>服务及时和准确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各项任务完成时间</w:t>
            </w:r>
          </w:p>
        </w:tc>
        <w:tc>
          <w:tcPr>
            <w:tcW w:w="3430" w:type="dxa"/>
            <w:vAlign w:val="center"/>
          </w:tcPr>
          <w:p>
            <w:pPr>
              <w:pStyle w:val="12"/>
            </w:pPr>
            <w:r>
              <w:t>各项任务完成时间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保障金额</w:t>
            </w:r>
          </w:p>
        </w:tc>
        <w:tc>
          <w:tcPr>
            <w:tcW w:w="3430" w:type="dxa"/>
            <w:vAlign w:val="center"/>
          </w:tcPr>
          <w:p>
            <w:pPr>
              <w:pStyle w:val="12"/>
            </w:pPr>
            <w:r>
              <w:t>保障金额</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监管企业财务管理水平</w:t>
            </w:r>
          </w:p>
        </w:tc>
        <w:tc>
          <w:tcPr>
            <w:tcW w:w="3430" w:type="dxa"/>
            <w:vAlign w:val="center"/>
          </w:tcPr>
          <w:p>
            <w:pPr>
              <w:pStyle w:val="12"/>
            </w:pPr>
            <w:r>
              <w:t>监管企业财务管理水平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国资国企履行社会责任管理水平和能力</w:t>
            </w:r>
          </w:p>
        </w:tc>
        <w:tc>
          <w:tcPr>
            <w:tcW w:w="3430" w:type="dxa"/>
            <w:vAlign w:val="center"/>
          </w:tcPr>
          <w:p>
            <w:pPr>
              <w:pStyle w:val="12"/>
            </w:pPr>
            <w:r>
              <w:t>国资国企履行社会责任管理水平和能力</w:t>
            </w:r>
          </w:p>
        </w:tc>
        <w:tc>
          <w:tcPr>
            <w:tcW w:w="2551" w:type="dxa"/>
            <w:vAlign w:val="center"/>
          </w:tcPr>
          <w:p>
            <w:pPr>
              <w:pStyle w:val="12"/>
            </w:pPr>
            <w:r>
              <w:t>提升国企履责能力水平，不断加强国资国企社会责任管理工作水平，更好地向社会各界展示良好的国资国企形象和履责成效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资金保障对象满意度</w:t>
            </w:r>
          </w:p>
        </w:tc>
        <w:tc>
          <w:tcPr>
            <w:tcW w:w="3430" w:type="dxa"/>
            <w:vAlign w:val="center"/>
          </w:tcPr>
          <w:p>
            <w:pPr>
              <w:pStyle w:val="12"/>
            </w:pPr>
            <w:r>
              <w:t>资金保障对象满意度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6"/>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.2025年度增强城投集团资本实力绩效目标表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2025年度增强城投集团资本实力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3074.00</w:t>
            </w:r>
          </w:p>
        </w:tc>
        <w:tc>
          <w:tcPr>
            <w:tcW w:w="1587" w:type="dxa"/>
            <w:vAlign w:val="center"/>
          </w:tcPr>
          <w:p>
            <w:pPr>
              <w:pStyle w:val="13"/>
            </w:pPr>
            <w:r>
              <w:t>其中：财政    资金</w:t>
            </w:r>
          </w:p>
        </w:tc>
        <w:tc>
          <w:tcPr>
            <w:tcW w:w="1843" w:type="dxa"/>
            <w:vAlign w:val="center"/>
          </w:tcPr>
          <w:p>
            <w:pPr>
              <w:pStyle w:val="12"/>
            </w:pPr>
            <w:r>
              <w:t>3074.00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增强城投集团资本实力，用于按时兑付到期债务及信息化系统投入。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拨付资金，增强资本实力，使企业资产负债率保持在相对稳定水平，合并口径资产负债率维持在70%以下水平；通过拨付增资资金，增强城投集团偿债能力，确保到期债务按时兑付，降低企业资金风险，严防出现债务兑付风险；扩大企业实收资本规模，稳定企业形象，进一步履行国企社会责任；应用信息化手段优化管理方式，提升运营管理水平；维持公司主体长期信用评级稳定为AAA级，利于城投集团维持融资市场的良好形象。</w:t>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完成集团公司增资</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使用资金项目个数</w:t>
            </w:r>
          </w:p>
        </w:tc>
        <w:tc>
          <w:tcPr>
            <w:tcW w:w="3430" w:type="dxa"/>
            <w:vAlign w:val="center"/>
          </w:tcPr>
          <w:p>
            <w:pPr>
              <w:pStyle w:val="12"/>
            </w:pPr>
            <w:r>
              <w:t>使用资金项目两项以上</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账务处理合规性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企业章程修正合规性</w:t>
            </w:r>
          </w:p>
        </w:tc>
        <w:tc>
          <w:tcPr>
            <w:tcW w:w="3430" w:type="dxa"/>
            <w:vAlign w:val="center"/>
          </w:tcPr>
          <w:p>
            <w:pPr>
              <w:pStyle w:val="12"/>
            </w:pPr>
            <w:r>
              <w:t>企业章程修正合规性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企业章程修正及时性</w:t>
            </w:r>
          </w:p>
        </w:tc>
        <w:tc>
          <w:tcPr>
            <w:tcW w:w="3430" w:type="dxa"/>
            <w:vAlign w:val="center"/>
          </w:tcPr>
          <w:p>
            <w:pPr>
              <w:pStyle w:val="12"/>
            </w:pPr>
            <w:r>
              <w:t>国资委出具增资相关文件之日起45天内完成</w:t>
            </w:r>
          </w:p>
        </w:tc>
        <w:tc>
          <w:tcPr>
            <w:tcW w:w="2551" w:type="dxa"/>
            <w:vAlign w:val="center"/>
          </w:tcPr>
          <w:p>
            <w:pPr>
              <w:pStyle w:val="12"/>
            </w:pPr>
            <w:r>
              <w:t>≤45天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企业工商登记变更</w:t>
            </w:r>
          </w:p>
        </w:tc>
        <w:tc>
          <w:tcPr>
            <w:tcW w:w="3430" w:type="dxa"/>
            <w:vAlign w:val="center"/>
          </w:tcPr>
          <w:p>
            <w:pPr>
              <w:pStyle w:val="12"/>
            </w:pPr>
            <w:r>
              <w:t>国资委出具出资人决定之日起30天内完成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账务处理及时性</w:t>
            </w:r>
          </w:p>
        </w:tc>
        <w:tc>
          <w:tcPr>
            <w:tcW w:w="3430" w:type="dxa"/>
            <w:vAlign w:val="center"/>
          </w:tcPr>
          <w:p>
            <w:pPr>
              <w:pStyle w:val="12"/>
            </w:pPr>
            <w:r>
              <w:t>当日完成账务处理</w:t>
            </w:r>
          </w:p>
        </w:tc>
        <w:tc>
          <w:tcPr>
            <w:tcW w:w="2551" w:type="dxa"/>
            <w:vAlign w:val="center"/>
          </w:tcPr>
          <w:p>
            <w:pPr>
              <w:pStyle w:val="12"/>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资金拨付额度</w:t>
            </w:r>
          </w:p>
        </w:tc>
        <w:tc>
          <w:tcPr>
            <w:tcW w:w="3430" w:type="dxa"/>
            <w:vAlign w:val="center"/>
          </w:tcPr>
          <w:p>
            <w:pPr>
              <w:pStyle w:val="12"/>
            </w:pPr>
            <w:r>
              <w:t>资金拨付额度</w:t>
            </w:r>
          </w:p>
        </w:tc>
        <w:tc>
          <w:tcPr>
            <w:tcW w:w="2551" w:type="dxa"/>
            <w:vAlign w:val="center"/>
          </w:tcPr>
          <w:p>
            <w:pPr>
              <w:pStyle w:val="12"/>
            </w:pPr>
            <w:r>
              <w:t>≤3074万元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资产负债率</w:t>
            </w:r>
          </w:p>
        </w:tc>
        <w:tc>
          <w:tcPr>
            <w:tcW w:w="3430" w:type="dxa"/>
            <w:vAlign w:val="center"/>
          </w:tcPr>
          <w:p>
            <w:pPr>
              <w:pStyle w:val="12"/>
            </w:pPr>
            <w:r>
              <w:t>合并口径资产负债率</w:t>
            </w:r>
          </w:p>
        </w:tc>
        <w:tc>
          <w:tcPr>
            <w:tcW w:w="2551" w:type="dxa"/>
            <w:vAlign w:val="center"/>
          </w:tcPr>
          <w:p>
            <w:pPr>
              <w:pStyle w:val="12"/>
            </w:pPr>
            <w:r>
              <w:t>≤70百分比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营业收入</w:t>
            </w:r>
          </w:p>
        </w:tc>
        <w:tc>
          <w:tcPr>
            <w:tcW w:w="3430" w:type="dxa"/>
            <w:vAlign w:val="center"/>
          </w:tcPr>
          <w:p>
            <w:pPr>
              <w:pStyle w:val="12"/>
            </w:pPr>
            <w:r>
              <w:t>考核口径（不含轨道）营业收入</w:t>
            </w:r>
          </w:p>
        </w:tc>
        <w:tc>
          <w:tcPr>
            <w:tcW w:w="2551" w:type="dxa"/>
            <w:vAlign w:val="center"/>
          </w:tcPr>
          <w:p>
            <w:pPr>
              <w:pStyle w:val="12"/>
            </w:pPr>
            <w:r>
              <w:t>≥216亿元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管理能力提升</w:t>
            </w:r>
          </w:p>
        </w:tc>
        <w:tc>
          <w:tcPr>
            <w:tcW w:w="3430" w:type="dxa"/>
            <w:vAlign w:val="center"/>
          </w:tcPr>
          <w:p>
            <w:pPr>
              <w:pStyle w:val="12"/>
            </w:pPr>
            <w:r>
              <w:t>管理能力提升</w:t>
            </w:r>
          </w:p>
        </w:tc>
        <w:tc>
          <w:tcPr>
            <w:tcW w:w="2551" w:type="dxa"/>
            <w:vAlign w:val="center"/>
          </w:tcPr>
          <w:p>
            <w:pPr>
              <w:pStyle w:val="12"/>
            </w:pPr>
            <w:r>
              <w:t>应用信息化手段优化管理方式，提升运营管理水平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社会责任履行</w:t>
            </w:r>
          </w:p>
        </w:tc>
        <w:tc>
          <w:tcPr>
            <w:tcW w:w="3430" w:type="dxa"/>
            <w:vAlign w:val="center"/>
          </w:tcPr>
          <w:p>
            <w:pPr>
              <w:pStyle w:val="12"/>
            </w:pPr>
            <w:r>
              <w:t>社会责任履行情况</w:t>
            </w:r>
          </w:p>
        </w:tc>
        <w:tc>
          <w:tcPr>
            <w:tcW w:w="2551" w:type="dxa"/>
            <w:vAlign w:val="center"/>
          </w:tcPr>
          <w:p>
            <w:pPr>
              <w:pStyle w:val="12"/>
            </w:pPr>
            <w:r>
              <w:t>进一步履行社会责任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按时兑付到期债务</w:t>
            </w:r>
          </w:p>
        </w:tc>
        <w:tc>
          <w:tcPr>
            <w:tcW w:w="3430" w:type="dxa"/>
            <w:vAlign w:val="center"/>
          </w:tcPr>
          <w:p>
            <w:pPr>
              <w:pStyle w:val="12"/>
            </w:pPr>
            <w:r>
              <w:t>按时兑付到期债务</w:t>
            </w:r>
          </w:p>
        </w:tc>
        <w:tc>
          <w:tcPr>
            <w:tcW w:w="2551" w:type="dxa"/>
            <w:vAlign w:val="center"/>
          </w:tcPr>
          <w:p>
            <w:pPr>
              <w:pStyle w:val="12"/>
            </w:pPr>
            <w:r>
              <w:t>确保按时兑付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公司主体长期信用评级</w:t>
            </w:r>
          </w:p>
        </w:tc>
        <w:tc>
          <w:tcPr>
            <w:tcW w:w="3430" w:type="dxa"/>
            <w:vAlign w:val="center"/>
          </w:tcPr>
          <w:p>
            <w:pPr>
              <w:pStyle w:val="12"/>
            </w:pPr>
            <w:r>
              <w:t>公司主体长期信用评级（企业信用评级划分为三等九级，其中AAA级为最高等级）</w:t>
            </w:r>
          </w:p>
        </w:tc>
        <w:tc>
          <w:tcPr>
            <w:tcW w:w="2551" w:type="dxa"/>
            <w:vAlign w:val="center"/>
          </w:tcPr>
          <w:p>
            <w:pPr>
              <w:pStyle w:val="12"/>
            </w:pPr>
            <w:r>
              <w:t>AAA级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企业市场形象</w:t>
            </w:r>
          </w:p>
        </w:tc>
        <w:tc>
          <w:tcPr>
            <w:tcW w:w="3430" w:type="dxa"/>
            <w:vAlign w:val="center"/>
          </w:tcPr>
          <w:p>
            <w:pPr>
              <w:pStyle w:val="12"/>
            </w:pPr>
            <w:r>
              <w:t>企业市场形象</w:t>
            </w:r>
          </w:p>
        </w:tc>
        <w:tc>
          <w:tcPr>
            <w:tcW w:w="2551" w:type="dxa"/>
            <w:vAlign w:val="center"/>
          </w:tcPr>
          <w:p>
            <w:pPr>
              <w:pStyle w:val="12"/>
            </w:pPr>
            <w:r>
              <w:t>及时偿还债务，维持企业融资市场的良好形象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企业（集团公司）满意度80%以上</w:t>
            </w:r>
          </w:p>
          <w:p>
            <w:pPr>
              <w:pStyle w:val="12"/>
            </w:pPr>
          </w:p>
        </w:tc>
        <w:tc>
          <w:tcPr>
            <w:tcW w:w="2551" w:type="dxa"/>
            <w:vAlign w:val="center"/>
          </w:tcPr>
          <w:p>
            <w:pPr>
              <w:pStyle w:val="1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资金使用部门满意度</w:t>
            </w:r>
          </w:p>
        </w:tc>
        <w:tc>
          <w:tcPr>
            <w:tcW w:w="3430" w:type="dxa"/>
            <w:vAlign w:val="center"/>
          </w:tcPr>
          <w:p>
            <w:pPr>
              <w:pStyle w:val="12"/>
            </w:pPr>
            <w:r>
              <w:t>资金实际使用部门满意度80%以上</w:t>
            </w:r>
          </w:p>
        </w:tc>
        <w:tc>
          <w:tcPr>
            <w:tcW w:w="2551" w:type="dxa"/>
            <w:vAlign w:val="center"/>
          </w:tcPr>
          <w:p>
            <w:pPr>
              <w:pStyle w:val="1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资金保障对象满意度</w:t>
            </w:r>
          </w:p>
        </w:tc>
        <w:tc>
          <w:tcPr>
            <w:tcW w:w="3430" w:type="dxa"/>
            <w:vAlign w:val="center"/>
          </w:tcPr>
          <w:p>
            <w:pPr>
              <w:pStyle w:val="12"/>
            </w:pPr>
            <w:r>
              <w:t>资金保障（流入）对象满意度80%以上</w:t>
            </w:r>
          </w:p>
        </w:tc>
        <w:tc>
          <w:tcPr>
            <w:tcW w:w="2551" w:type="dxa"/>
            <w:vAlign w:val="center"/>
          </w:tcPr>
          <w:p>
            <w:pPr>
              <w:pStyle w:val="12"/>
            </w:pPr>
            <w:r>
              <w:t>≥80百分比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7"/>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.补充民生企业（公交集团）2025年资本实力绩效目标表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补充民生企业（公交集团）2025年资本实力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w:t>
            </w:r>
          </w:p>
        </w:tc>
        <w:tc>
          <w:tcPr>
            <w:tcW w:w="1587" w:type="dxa"/>
            <w:vAlign w:val="center"/>
          </w:tcPr>
          <w:p>
            <w:pPr>
              <w:pStyle w:val="13"/>
            </w:pPr>
            <w:r>
              <w:t>其中：财政    资金</w:t>
            </w:r>
          </w:p>
        </w:tc>
        <w:tc>
          <w:tcPr>
            <w:tcW w:w="1843" w:type="dxa"/>
            <w:vAlign w:val="center"/>
          </w:tcPr>
          <w:p>
            <w:pPr>
              <w:pStyle w:val="12"/>
            </w:pPr>
            <w:r>
              <w:t>10000.00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增强公交集团资本实力，化解债务风险。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增资，增强公交集团资本实力，化解经营风险，改善财务状况，增强服务保障能力，不断提高公交运营服务质量，确保公交企业运营稳定，助力企业改革，推动企业持续良性发展，为市民百姓提供绿色、安全、智慧、多元、贴心、舒适的高品质公交出行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营业执照变更完成率</w:t>
            </w:r>
          </w:p>
        </w:tc>
        <w:tc>
          <w:tcPr>
            <w:tcW w:w="3430" w:type="dxa"/>
            <w:vAlign w:val="center"/>
          </w:tcPr>
          <w:p>
            <w:pPr>
              <w:pStyle w:val="12"/>
            </w:pPr>
            <w:r>
              <w:t>营业执照注册资本变更完成率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章程修正注册资本完成率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运营公里</w:t>
            </w:r>
          </w:p>
        </w:tc>
        <w:tc>
          <w:tcPr>
            <w:tcW w:w="3430" w:type="dxa"/>
            <w:vAlign w:val="center"/>
          </w:tcPr>
          <w:p>
            <w:pPr>
              <w:pStyle w:val="12"/>
            </w:pPr>
            <w:r>
              <w:t>年运营公里完成</w:t>
            </w:r>
          </w:p>
        </w:tc>
        <w:tc>
          <w:tcPr>
            <w:tcW w:w="2551" w:type="dxa"/>
            <w:vAlign w:val="center"/>
          </w:tcPr>
          <w:p>
            <w:pPr>
              <w:pStyle w:val="12"/>
            </w:pPr>
            <w:r>
              <w:t>≥3亿公里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资金使用用途合规</w:t>
            </w:r>
          </w:p>
        </w:tc>
        <w:tc>
          <w:tcPr>
            <w:tcW w:w="2551" w:type="dxa"/>
            <w:vAlign w:val="center"/>
          </w:tcPr>
          <w:p>
            <w:pPr>
              <w:pStyle w:val="12"/>
            </w:pPr>
            <w:r>
              <w:t>资金使用用途合规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客运量人次</w:t>
            </w:r>
          </w:p>
        </w:tc>
        <w:tc>
          <w:tcPr>
            <w:tcW w:w="3430" w:type="dxa"/>
            <w:vAlign w:val="center"/>
          </w:tcPr>
          <w:p>
            <w:pPr>
              <w:pStyle w:val="12"/>
            </w:pPr>
            <w:r>
              <w:t>年客运量人次完成</w:t>
            </w:r>
          </w:p>
        </w:tc>
        <w:tc>
          <w:tcPr>
            <w:tcW w:w="2551" w:type="dxa"/>
            <w:vAlign w:val="center"/>
          </w:tcPr>
          <w:p>
            <w:pPr>
              <w:pStyle w:val="12"/>
            </w:pPr>
            <w:r>
              <w:t>≥3.8亿人次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记账科目合规</w:t>
            </w:r>
          </w:p>
        </w:tc>
        <w:tc>
          <w:tcPr>
            <w:tcW w:w="2551" w:type="dxa"/>
            <w:vAlign w:val="center"/>
          </w:tcPr>
          <w:p>
            <w:pPr>
              <w:pStyle w:val="12"/>
            </w:pPr>
            <w:r>
              <w:t>记账科目合规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到位及时率</w:t>
            </w:r>
          </w:p>
        </w:tc>
        <w:tc>
          <w:tcPr>
            <w:tcW w:w="3430" w:type="dxa"/>
            <w:vAlign w:val="center"/>
          </w:tcPr>
          <w:p>
            <w:pPr>
              <w:pStyle w:val="12"/>
            </w:pPr>
            <w:r>
              <w:t>审核通过后5个工作日之内拨付到位</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章程修正及时性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营业执照变更及时性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拨付金额</w:t>
            </w:r>
          </w:p>
        </w:tc>
        <w:tc>
          <w:tcPr>
            <w:tcW w:w="3430" w:type="dxa"/>
            <w:vAlign w:val="center"/>
          </w:tcPr>
          <w:p>
            <w:pPr>
              <w:pStyle w:val="12"/>
            </w:pPr>
            <w:r>
              <w:t>拨付资金不超过10000万元</w:t>
            </w:r>
          </w:p>
        </w:tc>
        <w:tc>
          <w:tcPr>
            <w:tcW w:w="2551" w:type="dxa"/>
            <w:vAlign w:val="center"/>
          </w:tcPr>
          <w:p>
            <w:pPr>
              <w:pStyle w:val="1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年纯电动公交车能耗单耗完成</w:t>
            </w:r>
          </w:p>
        </w:tc>
        <w:tc>
          <w:tcPr>
            <w:tcW w:w="2551" w:type="dxa"/>
            <w:vAlign w:val="center"/>
          </w:tcPr>
          <w:p>
            <w:pPr>
              <w:pStyle w:val="12"/>
            </w:pPr>
            <w:r>
              <w:t>≤110度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年修保材料费完成</w:t>
            </w:r>
          </w:p>
        </w:tc>
        <w:tc>
          <w:tcPr>
            <w:tcW w:w="2551" w:type="dxa"/>
            <w:vAlign w:val="center"/>
          </w:tcPr>
          <w:p>
            <w:pPr>
              <w:pStyle w:val="12"/>
            </w:pPr>
            <w:r>
              <w:t>≤400元/千公里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年燃油公交车能耗单耗完成</w:t>
            </w:r>
          </w:p>
        </w:tc>
        <w:tc>
          <w:tcPr>
            <w:tcW w:w="2551" w:type="dxa"/>
            <w:vAlign w:val="center"/>
          </w:tcPr>
          <w:p>
            <w:pPr>
              <w:pStyle w:val="12"/>
            </w:pPr>
            <w:r>
              <w:t>≤28升/百公里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票款收入</w:t>
            </w:r>
          </w:p>
        </w:tc>
        <w:tc>
          <w:tcPr>
            <w:tcW w:w="3430" w:type="dxa"/>
            <w:vAlign w:val="center"/>
          </w:tcPr>
          <w:p>
            <w:pPr>
              <w:pStyle w:val="12"/>
            </w:pPr>
            <w:r>
              <w:t>年票款收入完成</w:t>
            </w:r>
          </w:p>
        </w:tc>
        <w:tc>
          <w:tcPr>
            <w:tcW w:w="2551" w:type="dxa"/>
            <w:vAlign w:val="center"/>
          </w:tcPr>
          <w:p>
            <w:pPr>
              <w:pStyle w:val="12"/>
            </w:pPr>
            <w:r>
              <w:t>≥3.2亿元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定制公交收入</w:t>
            </w:r>
          </w:p>
        </w:tc>
        <w:tc>
          <w:tcPr>
            <w:tcW w:w="3430" w:type="dxa"/>
            <w:vAlign w:val="center"/>
          </w:tcPr>
          <w:p>
            <w:pPr>
              <w:pStyle w:val="12"/>
            </w:pPr>
            <w:r>
              <w:t>年定制公交收入完成</w:t>
            </w:r>
          </w:p>
        </w:tc>
        <w:tc>
          <w:tcPr>
            <w:tcW w:w="2551" w:type="dxa"/>
            <w:vAlign w:val="center"/>
          </w:tcPr>
          <w:p>
            <w:pPr>
              <w:pStyle w:val="12"/>
            </w:pPr>
            <w: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税费贡献</w:t>
            </w:r>
          </w:p>
        </w:tc>
        <w:tc>
          <w:tcPr>
            <w:tcW w:w="3430" w:type="dxa"/>
            <w:vAlign w:val="center"/>
          </w:tcPr>
          <w:p>
            <w:pPr>
              <w:pStyle w:val="12"/>
            </w:pPr>
            <w:r>
              <w:t>年税费贡献</w:t>
            </w:r>
          </w:p>
        </w:tc>
        <w:tc>
          <w:tcPr>
            <w:tcW w:w="2551" w:type="dxa"/>
            <w:vAlign w:val="center"/>
          </w:tcPr>
          <w:p>
            <w:pPr>
              <w:pStyle w:val="12"/>
            </w:pPr>
            <w:r>
              <w:t>≥5500万元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新能源公交车占比</w:t>
            </w:r>
          </w:p>
        </w:tc>
        <w:tc>
          <w:tcPr>
            <w:tcW w:w="3430" w:type="dxa"/>
            <w:vAlign w:val="center"/>
          </w:tcPr>
          <w:p>
            <w:pPr>
              <w:pStyle w:val="12"/>
            </w:pPr>
            <w:r>
              <w:t>新能源公交车占比</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资产负债率</w:t>
            </w:r>
          </w:p>
        </w:tc>
        <w:tc>
          <w:tcPr>
            <w:tcW w:w="3430" w:type="dxa"/>
            <w:vAlign w:val="center"/>
          </w:tcPr>
          <w:p>
            <w:pPr>
              <w:pStyle w:val="12"/>
            </w:pPr>
            <w:r>
              <w:t>合并报表资产负债率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乘客满意度</w:t>
            </w:r>
          </w:p>
        </w:tc>
        <w:tc>
          <w:tcPr>
            <w:tcW w:w="3430" w:type="dxa"/>
            <w:vAlign w:val="center"/>
          </w:tcPr>
          <w:p>
            <w:pPr>
              <w:pStyle w:val="12"/>
            </w:pPr>
            <w:r>
              <w:t>乘客满意度</w:t>
            </w:r>
          </w:p>
        </w:tc>
        <w:tc>
          <w:tcPr>
            <w:tcW w:w="2551" w:type="dxa"/>
            <w:vAlign w:val="center"/>
          </w:tcPr>
          <w:p>
            <w:pPr>
              <w:pStyle w:val="12"/>
            </w:pPr>
            <w:r>
              <w:t>≥85百分比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8"/>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.陈塘庄热电厂搬迁一般债还息绩效目标表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陈塘庄热电厂搬迁一般债还息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474.00</w:t>
            </w:r>
          </w:p>
        </w:tc>
        <w:tc>
          <w:tcPr>
            <w:tcW w:w="1587" w:type="dxa"/>
            <w:vAlign w:val="center"/>
          </w:tcPr>
          <w:p>
            <w:pPr>
              <w:pStyle w:val="13"/>
            </w:pPr>
            <w:r>
              <w:t>其中：财政    资金</w:t>
            </w:r>
          </w:p>
        </w:tc>
        <w:tc>
          <w:tcPr>
            <w:tcW w:w="1843" w:type="dxa"/>
            <w:vAlign w:val="center"/>
          </w:tcPr>
          <w:p>
            <w:pPr>
              <w:pStyle w:val="12"/>
            </w:pPr>
            <w:r>
              <w:t>474.00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1.偿还政府一般债券利息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偿还一般债券利息项目</w:t>
            </w:r>
          </w:p>
        </w:tc>
        <w:tc>
          <w:tcPr>
            <w:tcW w:w="3430" w:type="dxa"/>
            <w:vAlign w:val="center"/>
          </w:tcPr>
          <w:p>
            <w:pPr>
              <w:pStyle w:val="12"/>
            </w:pPr>
            <w:r>
              <w:t>偿还一般债券利息项目</w:t>
            </w:r>
          </w:p>
        </w:tc>
        <w:tc>
          <w:tcPr>
            <w:tcW w:w="2551" w:type="dxa"/>
            <w:vAlign w:val="center"/>
          </w:tcPr>
          <w:p>
            <w:pPr>
              <w:pStyle w:val="12"/>
            </w:pPr>
            <w:r>
              <w:t>≥1项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债券项目资金使用率</w:t>
            </w:r>
          </w:p>
        </w:tc>
        <w:tc>
          <w:tcPr>
            <w:tcW w:w="3430" w:type="dxa"/>
            <w:vAlign w:val="center"/>
          </w:tcPr>
          <w:p>
            <w:pPr>
              <w:pStyle w:val="12"/>
            </w:pPr>
            <w:r>
              <w:t>债券项目资金使用率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利息偿还及时率</w:t>
            </w:r>
          </w:p>
        </w:tc>
        <w:tc>
          <w:tcPr>
            <w:tcW w:w="3430" w:type="dxa"/>
            <w:vAlign w:val="center"/>
          </w:tcPr>
          <w:p>
            <w:pPr>
              <w:pStyle w:val="12"/>
            </w:pPr>
            <w:r>
              <w:t>利息偿还及时率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一般债券利息偿还数控制</w:t>
            </w:r>
          </w:p>
        </w:tc>
        <w:tc>
          <w:tcPr>
            <w:tcW w:w="3430" w:type="dxa"/>
            <w:vAlign w:val="center"/>
          </w:tcPr>
          <w:p>
            <w:pPr>
              <w:pStyle w:val="12"/>
            </w:pPr>
            <w:r>
              <w:t>一般债券利息偿还数控制</w:t>
            </w:r>
          </w:p>
        </w:tc>
        <w:tc>
          <w:tcPr>
            <w:tcW w:w="2551" w:type="dxa"/>
            <w:vAlign w:val="center"/>
          </w:tcPr>
          <w:p>
            <w:pPr>
              <w:pStyle w:val="12"/>
            </w:pPr>
            <w:r>
              <w:t>≤474万元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债券资金项目完成进度</w:t>
            </w:r>
          </w:p>
        </w:tc>
        <w:tc>
          <w:tcPr>
            <w:tcW w:w="3430" w:type="dxa"/>
            <w:vAlign w:val="center"/>
          </w:tcPr>
          <w:p>
            <w:pPr>
              <w:pStyle w:val="12"/>
            </w:pPr>
            <w:r>
              <w:t>债券资金项目完成进度</w:t>
            </w:r>
          </w:p>
        </w:tc>
        <w:tc>
          <w:tcPr>
            <w:tcW w:w="2551" w:type="dxa"/>
            <w:vAlign w:val="center"/>
          </w:tcPr>
          <w:p>
            <w:pPr>
              <w:pStyle w:val="12"/>
            </w:pPr>
            <w:r>
              <w:t>≥70%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债券资金使用单位满意度</w:t>
            </w:r>
          </w:p>
        </w:tc>
        <w:tc>
          <w:tcPr>
            <w:tcW w:w="3430" w:type="dxa"/>
            <w:vAlign w:val="center"/>
          </w:tcPr>
          <w:p>
            <w:pPr>
              <w:pStyle w:val="12"/>
            </w:pPr>
            <w:r>
              <w:t>债券资金使用单位满意度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9"/>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.地方政府专项债券付息（土地政府收益）绩效目标表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地方政府专项债券付息（土地政府收益）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4688.00</w:t>
            </w:r>
          </w:p>
        </w:tc>
        <w:tc>
          <w:tcPr>
            <w:tcW w:w="1587" w:type="dxa"/>
            <w:vAlign w:val="center"/>
          </w:tcPr>
          <w:p>
            <w:pPr>
              <w:pStyle w:val="13"/>
            </w:pPr>
            <w:r>
              <w:t>其中：财政    资金</w:t>
            </w:r>
          </w:p>
        </w:tc>
        <w:tc>
          <w:tcPr>
            <w:tcW w:w="1843" w:type="dxa"/>
            <w:vAlign w:val="center"/>
          </w:tcPr>
          <w:p>
            <w:pPr>
              <w:pStyle w:val="12"/>
            </w:pPr>
            <w:r>
              <w:t>4688.00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地方政府专项债券付息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1.地方政府专项债券使用土地政府收益付息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偿还地方政府专项债券利息项目</w:t>
            </w:r>
          </w:p>
        </w:tc>
        <w:tc>
          <w:tcPr>
            <w:tcW w:w="3430" w:type="dxa"/>
            <w:vAlign w:val="center"/>
          </w:tcPr>
          <w:p>
            <w:pPr>
              <w:pStyle w:val="12"/>
            </w:pPr>
            <w:r>
              <w:t>偿还地方政府专项债券利息项目</w:t>
            </w:r>
          </w:p>
        </w:tc>
        <w:tc>
          <w:tcPr>
            <w:tcW w:w="2551" w:type="dxa"/>
            <w:vAlign w:val="center"/>
          </w:tcPr>
          <w:p>
            <w:pPr>
              <w:pStyle w:val="12"/>
            </w:pPr>
            <w:r>
              <w:t>≥1项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偿还利息资金使用率</w:t>
            </w:r>
          </w:p>
        </w:tc>
        <w:tc>
          <w:tcPr>
            <w:tcW w:w="3430" w:type="dxa"/>
            <w:vAlign w:val="center"/>
          </w:tcPr>
          <w:p>
            <w:pPr>
              <w:pStyle w:val="12"/>
            </w:pPr>
            <w:r>
              <w:t>偿还利息资金使用率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利息偿还及时率</w:t>
            </w:r>
          </w:p>
        </w:tc>
        <w:tc>
          <w:tcPr>
            <w:tcW w:w="3430" w:type="dxa"/>
            <w:vAlign w:val="center"/>
          </w:tcPr>
          <w:p>
            <w:pPr>
              <w:pStyle w:val="12"/>
            </w:pPr>
            <w:r>
              <w:t>利息偿还及时率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地方政府专项债券利息偿还数控制</w:t>
            </w:r>
          </w:p>
        </w:tc>
        <w:tc>
          <w:tcPr>
            <w:tcW w:w="3430" w:type="dxa"/>
            <w:vAlign w:val="center"/>
          </w:tcPr>
          <w:p>
            <w:pPr>
              <w:pStyle w:val="12"/>
            </w:pPr>
            <w:r>
              <w:t>地方政府专项债券利息偿还数控制</w:t>
            </w:r>
          </w:p>
        </w:tc>
        <w:tc>
          <w:tcPr>
            <w:tcW w:w="2551" w:type="dxa"/>
            <w:vAlign w:val="center"/>
          </w:tcPr>
          <w:p>
            <w:pPr>
              <w:pStyle w:val="12"/>
            </w:pPr>
            <w:r>
              <w:t>≤4688万元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偿还专项债券利息项目完成进度</w:t>
            </w:r>
          </w:p>
        </w:tc>
        <w:tc>
          <w:tcPr>
            <w:tcW w:w="3430" w:type="dxa"/>
            <w:vAlign w:val="center"/>
          </w:tcPr>
          <w:p>
            <w:pPr>
              <w:pStyle w:val="12"/>
            </w:pPr>
            <w:r>
              <w:t>偿还专项债券利息项目完成进度</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债券资金使用单位满意度</w:t>
            </w:r>
          </w:p>
        </w:tc>
        <w:tc>
          <w:tcPr>
            <w:tcW w:w="3430" w:type="dxa"/>
            <w:vAlign w:val="center"/>
          </w:tcPr>
          <w:p>
            <w:pPr>
              <w:pStyle w:val="12"/>
            </w:pPr>
            <w:r>
              <w:t>债券资金使用单位满意度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10"/>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.公交集团资本性支出项目（债券还息）绩效目标表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公交集团资本性支出项目（债券还息）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3627.00</w:t>
            </w:r>
          </w:p>
        </w:tc>
        <w:tc>
          <w:tcPr>
            <w:tcW w:w="1587" w:type="dxa"/>
            <w:vAlign w:val="center"/>
          </w:tcPr>
          <w:p>
            <w:pPr>
              <w:pStyle w:val="13"/>
            </w:pPr>
            <w:r>
              <w:t>其中：财政    资金</w:t>
            </w:r>
          </w:p>
        </w:tc>
        <w:tc>
          <w:tcPr>
            <w:tcW w:w="1843" w:type="dxa"/>
            <w:vAlign w:val="center"/>
          </w:tcPr>
          <w:p>
            <w:pPr>
              <w:pStyle w:val="12"/>
            </w:pPr>
            <w:r>
              <w:t>3627.00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用于偿还2025年度债券利息。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成本指标</w:t>
            </w:r>
          </w:p>
        </w:tc>
        <w:tc>
          <w:tcPr>
            <w:tcW w:w="1332" w:type="dxa"/>
            <w:vAlign w:val="center"/>
          </w:tcPr>
          <w:p>
            <w:pPr>
              <w:pStyle w:val="12"/>
            </w:pPr>
            <w:r>
              <w:t>偿还2025年度利息</w:t>
            </w:r>
          </w:p>
        </w:tc>
        <w:tc>
          <w:tcPr>
            <w:tcW w:w="3430" w:type="dxa"/>
            <w:vAlign w:val="center"/>
          </w:tcPr>
          <w:p>
            <w:pPr>
              <w:pStyle w:val="12"/>
            </w:pPr>
            <w:r>
              <w:t>按照专项债协议要求，准时足额偿还2025年度利息</w:t>
            </w:r>
          </w:p>
        </w:tc>
        <w:tc>
          <w:tcPr>
            <w:tcW w:w="2551" w:type="dxa"/>
            <w:vAlign w:val="center"/>
          </w:tcPr>
          <w:p>
            <w:pPr>
              <w:pStyle w:val="12"/>
            </w:pPr>
            <w:r>
              <w:t>3627万元</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偿还利息笔数</w:t>
            </w:r>
          </w:p>
        </w:tc>
        <w:tc>
          <w:tcPr>
            <w:tcW w:w="3430" w:type="dxa"/>
            <w:vAlign w:val="center"/>
          </w:tcPr>
          <w:p>
            <w:pPr>
              <w:pStyle w:val="12"/>
            </w:pPr>
            <w:r>
              <w:t>按照专项债协议要求每年按期偿还利息1笔</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足额偿还利息</w:t>
            </w:r>
          </w:p>
        </w:tc>
        <w:tc>
          <w:tcPr>
            <w:tcW w:w="3430" w:type="dxa"/>
            <w:vAlign w:val="center"/>
          </w:tcPr>
          <w:p>
            <w:pPr>
              <w:pStyle w:val="12"/>
            </w:pPr>
            <w:r>
              <w:t>按照专项债发行金额与利率，足额偿还到期利息</w:t>
            </w:r>
          </w:p>
        </w:tc>
        <w:tc>
          <w:tcPr>
            <w:tcW w:w="2551" w:type="dxa"/>
            <w:vAlign w:val="center"/>
          </w:tcPr>
          <w:p>
            <w:pPr>
              <w:pStyle w:val="12"/>
            </w:pPr>
            <w:r>
              <w:t>是否足额偿还利息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按时偿还利息</w:t>
            </w:r>
          </w:p>
        </w:tc>
        <w:tc>
          <w:tcPr>
            <w:tcW w:w="3430" w:type="dxa"/>
            <w:vAlign w:val="center"/>
          </w:tcPr>
          <w:p>
            <w:pPr>
              <w:pStyle w:val="12"/>
            </w:pPr>
            <w:r>
              <w:t>按照专项债偿还协议要求，按时偿还利息</w:t>
            </w:r>
          </w:p>
        </w:tc>
        <w:tc>
          <w:tcPr>
            <w:tcW w:w="2551" w:type="dxa"/>
            <w:vAlign w:val="center"/>
          </w:tcPr>
          <w:p>
            <w:pPr>
              <w:pStyle w:val="12"/>
            </w:pPr>
            <w:r>
              <w:t>是否按时偿还利息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维护债券市场信息</w:t>
            </w:r>
          </w:p>
        </w:tc>
        <w:tc>
          <w:tcPr>
            <w:tcW w:w="3430" w:type="dxa"/>
            <w:vAlign w:val="center"/>
          </w:tcPr>
          <w:p>
            <w:pPr>
              <w:pStyle w:val="12"/>
            </w:pPr>
            <w:r>
              <w:t>确保不发生逾期违约、守住债务风险底线，维护债券市场稳定</w:t>
            </w:r>
          </w:p>
        </w:tc>
        <w:tc>
          <w:tcPr>
            <w:tcW w:w="2551" w:type="dxa"/>
            <w:vAlign w:val="center"/>
          </w:tcPr>
          <w:p>
            <w:pPr>
              <w:pStyle w:val="12"/>
            </w:pPr>
            <w:r>
              <w:t>按时付息 维护债券市场信息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切实维护债权人合法权益，实现债权人满意度最大化</w:t>
            </w:r>
          </w:p>
        </w:tc>
        <w:tc>
          <w:tcPr>
            <w:tcW w:w="2551" w:type="dxa"/>
            <w:vAlign w:val="center"/>
          </w:tcPr>
          <w:p>
            <w:pPr>
              <w:pStyle w:val="12"/>
            </w:pPr>
            <w:r>
              <w:t>100百分比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1"/>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.国有企业职教幼教教师待遇问题经费（2025年地方）绩效目标表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国有企业职教幼教教师待遇问题经费（2025年地方）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2994.00</w:t>
            </w:r>
          </w:p>
        </w:tc>
        <w:tc>
          <w:tcPr>
            <w:tcW w:w="1587" w:type="dxa"/>
            <w:vAlign w:val="center"/>
          </w:tcPr>
          <w:p>
            <w:pPr>
              <w:pStyle w:val="13"/>
            </w:pPr>
            <w:r>
              <w:t>其中：财政    资金</w:t>
            </w:r>
          </w:p>
        </w:tc>
        <w:tc>
          <w:tcPr>
            <w:tcW w:w="1843" w:type="dxa"/>
            <w:vAlign w:val="center"/>
          </w:tcPr>
          <w:p>
            <w:pPr>
              <w:pStyle w:val="12"/>
            </w:pPr>
            <w:r>
              <w:t>2994.00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用于发放国有企业职教幼教退休教师生活补贴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1.完成2024年度我市妥善解决国有企业职教幼教退休教师问题的资格审核、待遇测算及生活补贴发放工作，切实解决符合资格的国有企业职教幼教退休教师待遇低问题，确保国家政策落到实处，维护社会和谐稳定。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生活补贴发放人数</w:t>
            </w:r>
          </w:p>
        </w:tc>
        <w:tc>
          <w:tcPr>
            <w:tcW w:w="3430" w:type="dxa"/>
            <w:vAlign w:val="center"/>
          </w:tcPr>
          <w:p>
            <w:pPr>
              <w:pStyle w:val="12"/>
            </w:pPr>
            <w:r>
              <w:t>符合生活补贴发放资格的国有企业职教幼教退休教师人数</w:t>
            </w:r>
          </w:p>
        </w:tc>
        <w:tc>
          <w:tcPr>
            <w:tcW w:w="2551" w:type="dxa"/>
            <w:vAlign w:val="center"/>
          </w:tcPr>
          <w:p>
            <w:pPr>
              <w:pStyle w:val="12"/>
            </w:pPr>
            <w:r>
              <w:t>≤1711人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2024年度新退休国有企业职教幼教退休教师生活补贴发放资格审核准确性</w:t>
            </w:r>
          </w:p>
        </w:tc>
        <w:tc>
          <w:tcPr>
            <w:tcW w:w="3430" w:type="dxa"/>
            <w:vAlign w:val="center"/>
          </w:tcPr>
          <w:p>
            <w:pPr>
              <w:pStyle w:val="12"/>
            </w:pPr>
            <w:r>
              <w:t>2024年度新退休国有企业职教幼教退休教师生活补贴发放资格审核准确性</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资格审核、待遇测算、资金拨付、补贴发放（除退休教师或退休教师去世家属不配合等特殊情况外）工作完成时间</w:t>
            </w:r>
          </w:p>
        </w:tc>
        <w:tc>
          <w:tcPr>
            <w:tcW w:w="2551" w:type="dxa"/>
            <w:vAlign w:val="center"/>
          </w:tcPr>
          <w:p>
            <w:pPr>
              <w:pStyle w:val="12"/>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人均补贴金额</w:t>
            </w:r>
          </w:p>
        </w:tc>
        <w:tc>
          <w:tcPr>
            <w:tcW w:w="3430" w:type="dxa"/>
            <w:vAlign w:val="center"/>
          </w:tcPr>
          <w:p>
            <w:pPr>
              <w:pStyle w:val="12"/>
            </w:pPr>
            <w:r>
              <w:t>符合生活补贴发放资格的国有企业职教幼教退休教师人均生活补贴发放金额</w:t>
            </w:r>
          </w:p>
        </w:tc>
        <w:tc>
          <w:tcPr>
            <w:tcW w:w="2551" w:type="dxa"/>
            <w:vAlign w:val="center"/>
          </w:tcPr>
          <w:p>
            <w:pPr>
              <w:pStyle w:val="12"/>
            </w:pPr>
            <w:r>
              <w:t>≤2.1万元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是否解决符合发放资格的国有企业职教幼教退休教师待遇低问题</w:t>
            </w:r>
          </w:p>
        </w:tc>
        <w:tc>
          <w:tcPr>
            <w:tcW w:w="3430" w:type="dxa"/>
            <w:vAlign w:val="center"/>
          </w:tcPr>
          <w:p>
            <w:pPr>
              <w:pStyle w:val="12"/>
            </w:pPr>
            <w:r>
              <w:t>是否解决符合发放资格的国有企业职教幼教退休教师待遇低问题</w:t>
            </w:r>
          </w:p>
        </w:tc>
        <w:tc>
          <w:tcPr>
            <w:tcW w:w="2551" w:type="dxa"/>
            <w:vAlign w:val="center"/>
          </w:tcPr>
          <w:p>
            <w:pPr>
              <w:pStyle w:val="12"/>
            </w:pPr>
            <w:r>
              <w:t>按相关文件要求，解决待遇低问题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信访人数</w:t>
            </w:r>
          </w:p>
        </w:tc>
        <w:tc>
          <w:tcPr>
            <w:tcW w:w="3430" w:type="dxa"/>
            <w:vAlign w:val="center"/>
          </w:tcPr>
          <w:p>
            <w:pPr>
              <w:pStyle w:val="12"/>
            </w:pPr>
            <w:r>
              <w:t>符合生活补贴发放资格的国有企业职教幼教退休教师信访总人数</w:t>
            </w:r>
          </w:p>
        </w:tc>
        <w:tc>
          <w:tcPr>
            <w:tcW w:w="2551" w:type="dxa"/>
            <w:vAlign w:val="center"/>
          </w:tcPr>
          <w:p>
            <w:pPr>
              <w:pStyle w:val="12"/>
            </w:pPr>
            <w:r>
              <w:t>≤10人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有效落实社会保障机制，保障符合资格的退休教师待遇</w:t>
            </w:r>
          </w:p>
        </w:tc>
        <w:tc>
          <w:tcPr>
            <w:tcW w:w="3430" w:type="dxa"/>
            <w:vAlign w:val="center"/>
          </w:tcPr>
          <w:p>
            <w:pPr>
              <w:pStyle w:val="12"/>
            </w:pPr>
            <w:r>
              <w:t>有效落实社会保障机制，保障符合资格的退休教师待遇</w:t>
            </w:r>
          </w:p>
        </w:tc>
        <w:tc>
          <w:tcPr>
            <w:tcW w:w="2551" w:type="dxa"/>
            <w:vAlign w:val="center"/>
          </w:tcPr>
          <w:p>
            <w:pPr>
              <w:pStyle w:val="12"/>
            </w:pPr>
            <w:r>
              <w:t>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领取生活补贴的退休教师满意度（抽样调查方式）</w:t>
            </w:r>
          </w:p>
        </w:tc>
        <w:tc>
          <w:tcPr>
            <w:tcW w:w="3430" w:type="dxa"/>
            <w:vAlign w:val="center"/>
          </w:tcPr>
          <w:p>
            <w:pPr>
              <w:pStyle w:val="12"/>
            </w:pPr>
            <w:r>
              <w:t>领取生活补贴的退休教师满意度（抽样调查方式）</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2"/>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.国有企业职教幼教教师待遇问题经费（2025年中央）绩效目标表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国有企业职教幼教教师待遇问题经费（2025年中央）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606.00</w:t>
            </w:r>
          </w:p>
        </w:tc>
        <w:tc>
          <w:tcPr>
            <w:tcW w:w="1587" w:type="dxa"/>
            <w:vAlign w:val="center"/>
          </w:tcPr>
          <w:p>
            <w:pPr>
              <w:pStyle w:val="13"/>
            </w:pPr>
            <w:r>
              <w:t>其中：财政    资金</w:t>
            </w:r>
          </w:p>
        </w:tc>
        <w:tc>
          <w:tcPr>
            <w:tcW w:w="1843" w:type="dxa"/>
            <w:vAlign w:val="center"/>
          </w:tcPr>
          <w:p>
            <w:pPr>
              <w:pStyle w:val="12"/>
            </w:pPr>
            <w:r>
              <w:t>606.00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用于发放国有企业职教幼教退休教师生活补贴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1.完成2024年度我市妥善解决国有企业职教幼教退休教师问题的资格审核、待遇测算及生活补贴发放工作，切实解决符合资格的国有企业职教幼教退休教师待遇低问题，确保国家政策落到实处，维护社会和谐稳定。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生活补贴发放人数</w:t>
            </w:r>
          </w:p>
        </w:tc>
        <w:tc>
          <w:tcPr>
            <w:tcW w:w="3430" w:type="dxa"/>
            <w:vAlign w:val="center"/>
          </w:tcPr>
          <w:p>
            <w:pPr>
              <w:pStyle w:val="12"/>
            </w:pPr>
            <w:r>
              <w:t>符合生活补贴发放资格的国有企业职教幼教退休教师人数</w:t>
            </w:r>
          </w:p>
        </w:tc>
        <w:tc>
          <w:tcPr>
            <w:tcW w:w="2551" w:type="dxa"/>
            <w:vAlign w:val="center"/>
          </w:tcPr>
          <w:p>
            <w:pPr>
              <w:pStyle w:val="12"/>
            </w:pPr>
            <w:r>
              <w:t>≤1711人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2024年度新退休国有企业职教幼教退休教师生活补贴发放资格审核准确性</w:t>
            </w:r>
          </w:p>
        </w:tc>
        <w:tc>
          <w:tcPr>
            <w:tcW w:w="3430" w:type="dxa"/>
            <w:vAlign w:val="center"/>
          </w:tcPr>
          <w:p>
            <w:pPr>
              <w:pStyle w:val="12"/>
            </w:pPr>
            <w:r>
              <w:t>2024年度新退休国有企业职教幼教退休教师生活补贴发放资格审核准确性</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资格审核、待遇测算、资金拨付、补贴发放（除退休教师或退休教师去世家属不配合等特殊情况外）工作完成时间</w:t>
            </w:r>
          </w:p>
        </w:tc>
        <w:tc>
          <w:tcPr>
            <w:tcW w:w="2551" w:type="dxa"/>
            <w:vAlign w:val="center"/>
          </w:tcPr>
          <w:p>
            <w:pPr>
              <w:pStyle w:val="12"/>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人均补贴金额</w:t>
            </w:r>
          </w:p>
        </w:tc>
        <w:tc>
          <w:tcPr>
            <w:tcW w:w="3430" w:type="dxa"/>
            <w:vAlign w:val="center"/>
          </w:tcPr>
          <w:p>
            <w:pPr>
              <w:pStyle w:val="12"/>
            </w:pPr>
            <w:r>
              <w:t>符合生活补贴发放资格的国有企业职教幼教退休教师人均生活补贴发放金额</w:t>
            </w:r>
          </w:p>
        </w:tc>
        <w:tc>
          <w:tcPr>
            <w:tcW w:w="2551" w:type="dxa"/>
            <w:vAlign w:val="center"/>
          </w:tcPr>
          <w:p>
            <w:pPr>
              <w:pStyle w:val="12"/>
            </w:pPr>
            <w:r>
              <w:t>≤2.1万元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是否解决符合发放资格的国有企业职教幼教退休教师待遇低问题</w:t>
            </w:r>
          </w:p>
        </w:tc>
        <w:tc>
          <w:tcPr>
            <w:tcW w:w="3430" w:type="dxa"/>
            <w:vAlign w:val="center"/>
          </w:tcPr>
          <w:p>
            <w:pPr>
              <w:pStyle w:val="12"/>
            </w:pPr>
            <w:r>
              <w:t>是否解决符合发放资格的国有企业职教幼教退休教师待遇低问题</w:t>
            </w:r>
          </w:p>
        </w:tc>
        <w:tc>
          <w:tcPr>
            <w:tcW w:w="2551" w:type="dxa"/>
            <w:vAlign w:val="center"/>
          </w:tcPr>
          <w:p>
            <w:pPr>
              <w:pStyle w:val="12"/>
            </w:pPr>
            <w:r>
              <w:t>按相关文件要求，解决待遇低问题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信访人数</w:t>
            </w:r>
          </w:p>
        </w:tc>
        <w:tc>
          <w:tcPr>
            <w:tcW w:w="3430" w:type="dxa"/>
            <w:vAlign w:val="center"/>
          </w:tcPr>
          <w:p>
            <w:pPr>
              <w:pStyle w:val="12"/>
            </w:pPr>
            <w:r>
              <w:t>符合生活补贴发放资格的国有企业职教幼教退休教师信访总人数</w:t>
            </w:r>
          </w:p>
        </w:tc>
        <w:tc>
          <w:tcPr>
            <w:tcW w:w="2551" w:type="dxa"/>
            <w:vAlign w:val="center"/>
          </w:tcPr>
          <w:p>
            <w:pPr>
              <w:pStyle w:val="12"/>
            </w:pPr>
            <w:r>
              <w:t>≤10人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有效落实社会保障机制，保障符合资格的退休教师待遇</w:t>
            </w:r>
          </w:p>
        </w:tc>
        <w:tc>
          <w:tcPr>
            <w:tcW w:w="3430" w:type="dxa"/>
            <w:vAlign w:val="center"/>
          </w:tcPr>
          <w:p>
            <w:pPr>
              <w:pStyle w:val="12"/>
            </w:pPr>
            <w:r>
              <w:t>有效落实社会保障机制，保障符合资格的退休教师待遇</w:t>
            </w:r>
          </w:p>
        </w:tc>
        <w:tc>
          <w:tcPr>
            <w:tcW w:w="2551" w:type="dxa"/>
            <w:vAlign w:val="center"/>
          </w:tcPr>
          <w:p>
            <w:pPr>
              <w:pStyle w:val="12"/>
            </w:pPr>
            <w:r>
              <w:t>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领取生活补贴的退休教师满意度（抽样调查方式）</w:t>
            </w:r>
          </w:p>
        </w:tc>
        <w:tc>
          <w:tcPr>
            <w:tcW w:w="3430" w:type="dxa"/>
            <w:vAlign w:val="center"/>
          </w:tcPr>
          <w:p>
            <w:pPr>
              <w:pStyle w:val="12"/>
            </w:pPr>
            <w:r>
              <w:t>领取生活补贴的退休教师满意度（抽样调查方式）</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3"/>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.国资两委2025年度履职保障项目绩效目标表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国资两委2025年度履职保障项目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552.00</w:t>
            </w:r>
          </w:p>
        </w:tc>
        <w:tc>
          <w:tcPr>
            <w:tcW w:w="1587" w:type="dxa"/>
            <w:vAlign w:val="center"/>
          </w:tcPr>
          <w:p>
            <w:pPr>
              <w:pStyle w:val="13"/>
            </w:pPr>
            <w:r>
              <w:t>其中：财政    资金</w:t>
            </w:r>
          </w:p>
        </w:tc>
        <w:tc>
          <w:tcPr>
            <w:tcW w:w="1843" w:type="dxa"/>
            <w:vAlign w:val="center"/>
          </w:tcPr>
          <w:p>
            <w:pPr>
              <w:pStyle w:val="12"/>
            </w:pPr>
            <w:r>
              <w:t>552.00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用于支付国资委机关办公大楼租赁费。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1.保障市国资委机关办公正常运行。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租赁面积</w:t>
            </w:r>
          </w:p>
        </w:tc>
        <w:tc>
          <w:tcPr>
            <w:tcW w:w="3430" w:type="dxa"/>
            <w:vAlign w:val="center"/>
          </w:tcPr>
          <w:p>
            <w:pPr>
              <w:pStyle w:val="12"/>
            </w:pPr>
            <w:r>
              <w:t>办公大楼的租赁面积</w:t>
            </w:r>
          </w:p>
        </w:tc>
        <w:tc>
          <w:tcPr>
            <w:tcW w:w="2551" w:type="dxa"/>
            <w:vAlign w:val="center"/>
          </w:tcPr>
          <w:p>
            <w:pPr>
              <w:pStyle w:val="12"/>
            </w:pPr>
            <w:r>
              <w:t>7400平方米</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覆盖人数</w:t>
            </w:r>
          </w:p>
        </w:tc>
        <w:tc>
          <w:tcPr>
            <w:tcW w:w="3430" w:type="dxa"/>
            <w:vAlign w:val="center"/>
          </w:tcPr>
          <w:p>
            <w:pPr>
              <w:pStyle w:val="12"/>
            </w:pPr>
            <w:r>
              <w:t>办公大楼保障的覆盖人数</w:t>
            </w:r>
          </w:p>
        </w:tc>
        <w:tc>
          <w:tcPr>
            <w:tcW w:w="2551" w:type="dxa"/>
            <w:vAlign w:val="center"/>
          </w:tcPr>
          <w:p>
            <w:pPr>
              <w:pStyle w:val="12"/>
            </w:pPr>
            <w:r>
              <w:t>≥210人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办公设备正常使用率</w:t>
            </w:r>
          </w:p>
        </w:tc>
        <w:tc>
          <w:tcPr>
            <w:tcW w:w="3430" w:type="dxa"/>
            <w:vAlign w:val="center"/>
          </w:tcPr>
          <w:p>
            <w:pPr>
              <w:pStyle w:val="12"/>
            </w:pPr>
            <w:r>
              <w:t>办公大楼的办公设备正常使用率</w:t>
            </w:r>
          </w:p>
        </w:tc>
        <w:tc>
          <w:tcPr>
            <w:tcW w:w="2551" w:type="dxa"/>
            <w:vAlign w:val="center"/>
          </w:tcPr>
          <w:p>
            <w:pPr>
              <w:pStyle w:val="12"/>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资金支付及时性</w:t>
            </w:r>
          </w:p>
        </w:tc>
        <w:tc>
          <w:tcPr>
            <w:tcW w:w="3430" w:type="dxa"/>
            <w:vAlign w:val="center"/>
          </w:tcPr>
          <w:p>
            <w:pPr>
              <w:pStyle w:val="12"/>
            </w:pPr>
            <w:r>
              <w:t>租赁费支付的及时性</w:t>
            </w:r>
          </w:p>
        </w:tc>
        <w:tc>
          <w:tcPr>
            <w:tcW w:w="2551" w:type="dxa"/>
            <w:vAlign w:val="center"/>
          </w:tcPr>
          <w:p>
            <w:pPr>
              <w:pStyle w:val="12"/>
            </w:pPr>
            <w:r>
              <w:t>年底前支付完成</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租赁费</w:t>
            </w:r>
          </w:p>
        </w:tc>
        <w:tc>
          <w:tcPr>
            <w:tcW w:w="3430" w:type="dxa"/>
            <w:vAlign w:val="center"/>
          </w:tcPr>
          <w:p>
            <w:pPr>
              <w:pStyle w:val="12"/>
            </w:pPr>
            <w:r>
              <w:t>办公大楼租赁费</w:t>
            </w:r>
          </w:p>
        </w:tc>
        <w:tc>
          <w:tcPr>
            <w:tcW w:w="2551" w:type="dxa"/>
            <w:vAlign w:val="center"/>
          </w:tcPr>
          <w:p>
            <w:pPr>
              <w:pStyle w:val="12"/>
            </w:pPr>
            <w:r>
              <w:t>≤552万元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保障单位正常运行</w:t>
            </w:r>
          </w:p>
        </w:tc>
        <w:tc>
          <w:tcPr>
            <w:tcW w:w="3430" w:type="dxa"/>
            <w:vAlign w:val="center"/>
          </w:tcPr>
          <w:p>
            <w:pPr>
              <w:pStyle w:val="12"/>
            </w:pPr>
            <w:r>
              <w:t>保障国资委机关的正常办公运行</w:t>
            </w:r>
          </w:p>
        </w:tc>
        <w:tc>
          <w:tcPr>
            <w:tcW w:w="2551" w:type="dxa"/>
            <w:vAlign w:val="center"/>
          </w:tcPr>
          <w:p>
            <w:pPr>
              <w:pStyle w:val="12"/>
            </w:pPr>
            <w:r>
              <w:t>正常保障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保障对象满意度</w:t>
            </w:r>
          </w:p>
        </w:tc>
        <w:tc>
          <w:tcPr>
            <w:tcW w:w="3430" w:type="dxa"/>
            <w:vAlign w:val="center"/>
          </w:tcPr>
          <w:p>
            <w:pPr>
              <w:pStyle w:val="12"/>
            </w:pPr>
            <w:r>
              <w:t>办公用房保障对象满意度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.京津冀协同发展污染防治“两化”治理项目政府债2025年利息绩效目标表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京津冀协同发展污染防治“两化”治理项目政府债2025年利息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13512.00</w:t>
            </w:r>
          </w:p>
        </w:tc>
        <w:tc>
          <w:tcPr>
            <w:tcW w:w="1587" w:type="dxa"/>
            <w:vAlign w:val="center"/>
          </w:tcPr>
          <w:p>
            <w:pPr>
              <w:pStyle w:val="13"/>
            </w:pPr>
            <w:r>
              <w:t>其中：财政    资金</w:t>
            </w:r>
          </w:p>
        </w:tc>
        <w:tc>
          <w:tcPr>
            <w:tcW w:w="1843" w:type="dxa"/>
            <w:vAlign w:val="center"/>
          </w:tcPr>
          <w:p>
            <w:pPr>
              <w:pStyle w:val="12"/>
            </w:pPr>
            <w:r>
              <w:t>13512.00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用于偿还政府债利息。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1.根据京津冀协同发展污染防治“两化”治理项目政府债要求，及时足额支付政府债利息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偿还债务利息笔数</w:t>
            </w:r>
          </w:p>
        </w:tc>
        <w:tc>
          <w:tcPr>
            <w:tcW w:w="3430" w:type="dxa"/>
            <w:vAlign w:val="center"/>
          </w:tcPr>
          <w:p>
            <w:pPr>
              <w:pStyle w:val="12"/>
            </w:pPr>
            <w:r>
              <w:t>偿还债务利息笔数</w:t>
            </w:r>
          </w:p>
        </w:tc>
        <w:tc>
          <w:tcPr>
            <w:tcW w:w="2551" w:type="dxa"/>
            <w:vAlign w:val="center"/>
          </w:tcPr>
          <w:p>
            <w:pPr>
              <w:pStyle w:val="12"/>
            </w:pPr>
            <w:r>
              <w:t>1笔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还利息数额</w:t>
            </w:r>
          </w:p>
        </w:tc>
        <w:tc>
          <w:tcPr>
            <w:tcW w:w="3430" w:type="dxa"/>
            <w:vAlign w:val="center"/>
          </w:tcPr>
          <w:p>
            <w:pPr>
              <w:pStyle w:val="12"/>
            </w:pPr>
            <w:r>
              <w:t>还利息数额</w:t>
            </w:r>
          </w:p>
        </w:tc>
        <w:tc>
          <w:tcPr>
            <w:tcW w:w="2551" w:type="dxa"/>
            <w:vAlign w:val="center"/>
          </w:tcPr>
          <w:p>
            <w:pPr>
              <w:pStyle w:val="12"/>
            </w:pPr>
            <w:r>
              <w:t>是否足额偿还利息</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按时偿还</w:t>
            </w:r>
          </w:p>
        </w:tc>
        <w:tc>
          <w:tcPr>
            <w:tcW w:w="3430" w:type="dxa"/>
            <w:vAlign w:val="center"/>
          </w:tcPr>
          <w:p>
            <w:pPr>
              <w:pStyle w:val="12"/>
            </w:pPr>
            <w:r>
              <w:t>按时偿还</w:t>
            </w:r>
          </w:p>
        </w:tc>
        <w:tc>
          <w:tcPr>
            <w:tcW w:w="2551" w:type="dxa"/>
            <w:vAlign w:val="center"/>
          </w:tcPr>
          <w:p>
            <w:pPr>
              <w:pStyle w:val="12"/>
            </w:pPr>
            <w:r>
              <w:t>是否按时偿还利息</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偿还债务利息支出</w:t>
            </w:r>
          </w:p>
          <w:p>
            <w:pPr>
              <w:pStyle w:val="12"/>
            </w:pPr>
          </w:p>
          <w:p>
            <w:pPr>
              <w:pStyle w:val="12"/>
            </w:pPr>
          </w:p>
        </w:tc>
        <w:tc>
          <w:tcPr>
            <w:tcW w:w="3430" w:type="dxa"/>
            <w:vAlign w:val="center"/>
          </w:tcPr>
          <w:p>
            <w:pPr>
              <w:pStyle w:val="12"/>
            </w:pPr>
            <w:r>
              <w:t>偿还债务利息支出</w:t>
            </w:r>
          </w:p>
          <w:p>
            <w:pPr>
              <w:pStyle w:val="12"/>
            </w:pPr>
          </w:p>
          <w:p>
            <w:pPr>
              <w:pStyle w:val="12"/>
            </w:pPr>
          </w:p>
        </w:tc>
        <w:tc>
          <w:tcPr>
            <w:tcW w:w="2551" w:type="dxa"/>
            <w:vAlign w:val="center"/>
          </w:tcPr>
          <w:p>
            <w:pPr>
              <w:pStyle w:val="12"/>
            </w:pPr>
            <w:r>
              <w:t>13512万元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保持稳定</w:t>
            </w:r>
          </w:p>
        </w:tc>
        <w:tc>
          <w:tcPr>
            <w:tcW w:w="3430" w:type="dxa"/>
            <w:vAlign w:val="center"/>
          </w:tcPr>
          <w:p>
            <w:pPr>
              <w:pStyle w:val="12"/>
            </w:pPr>
            <w:r>
              <w:t>保持稳定</w:t>
            </w:r>
          </w:p>
        </w:tc>
        <w:tc>
          <w:tcPr>
            <w:tcW w:w="2551" w:type="dxa"/>
            <w:vAlign w:val="center"/>
          </w:tcPr>
          <w:p>
            <w:pPr>
              <w:pStyle w:val="12"/>
            </w:pPr>
            <w:r>
              <w:t>是否维护债券市场稳定</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.市国资委2025年度信息化运行维护项目绩效目标表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市国资委2025年度信息化运行维护项目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144.00</w:t>
            </w:r>
          </w:p>
        </w:tc>
        <w:tc>
          <w:tcPr>
            <w:tcW w:w="1587" w:type="dxa"/>
            <w:vAlign w:val="center"/>
          </w:tcPr>
          <w:p>
            <w:pPr>
              <w:pStyle w:val="13"/>
            </w:pPr>
            <w:r>
              <w:t>其中：财政    资金</w:t>
            </w:r>
          </w:p>
        </w:tc>
        <w:tc>
          <w:tcPr>
            <w:tcW w:w="1843" w:type="dxa"/>
            <w:vAlign w:val="center"/>
          </w:tcPr>
          <w:p>
            <w:pPr>
              <w:pStyle w:val="12"/>
            </w:pPr>
            <w:r>
              <w:t>144.00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用于保障机关信息化运维项目。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1.项目用于市国资委信息系统运行维护，提供各类网信服务，保障各项网信工作顺利开展，实现智慧国资监管系统、OA系统、视频会议系统软硬件运行正常，故障 处理及时高效；按照批复预算，第三方测评机构对系统进行测评并出具测评报告；为市国资委办公地点提供有线和无线两条运营商宽带；及时准确提供舆情报告；显著提升市国资委信息化水平。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运营商宽带数量</w:t>
            </w:r>
          </w:p>
        </w:tc>
        <w:tc>
          <w:tcPr>
            <w:tcW w:w="3430" w:type="dxa"/>
            <w:vAlign w:val="center"/>
          </w:tcPr>
          <w:p>
            <w:pPr>
              <w:pStyle w:val="12"/>
            </w:pPr>
            <w:r>
              <w:t>运营商宽带数量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提供舆情报告数量</w:t>
            </w:r>
          </w:p>
        </w:tc>
        <w:tc>
          <w:tcPr>
            <w:tcW w:w="3430" w:type="dxa"/>
            <w:vAlign w:val="center"/>
          </w:tcPr>
          <w:p>
            <w:pPr>
              <w:pStyle w:val="12"/>
            </w:pPr>
            <w:r>
              <w:t>提供舆情报告数量</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系统用户年访问量</w:t>
            </w:r>
          </w:p>
        </w:tc>
        <w:tc>
          <w:tcPr>
            <w:tcW w:w="3430" w:type="dxa"/>
            <w:vAlign w:val="center"/>
          </w:tcPr>
          <w:p>
            <w:pPr>
              <w:pStyle w:val="12"/>
            </w:pPr>
            <w:r>
              <w:t>系统用户年访问量（系统显示的点击量）</w:t>
            </w:r>
          </w:p>
        </w:tc>
        <w:tc>
          <w:tcPr>
            <w:tcW w:w="2551" w:type="dxa"/>
            <w:vAlign w:val="center"/>
          </w:tcPr>
          <w:p>
            <w:pPr>
              <w:pStyle w:val="12"/>
            </w:pPr>
            <w: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测评报告数量</w:t>
            </w:r>
          </w:p>
        </w:tc>
        <w:tc>
          <w:tcPr>
            <w:tcW w:w="3430" w:type="dxa"/>
            <w:vAlign w:val="center"/>
          </w:tcPr>
          <w:p>
            <w:pPr>
              <w:pStyle w:val="12"/>
            </w:pPr>
            <w:r>
              <w:t>测评机构出具的等保测评报告数量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故障排除率</w:t>
            </w:r>
          </w:p>
        </w:tc>
        <w:tc>
          <w:tcPr>
            <w:tcW w:w="3430" w:type="dxa"/>
            <w:vAlign w:val="center"/>
          </w:tcPr>
          <w:p>
            <w:pPr>
              <w:pStyle w:val="12"/>
            </w:pPr>
            <w:r>
              <w:t>软硬件故障排除率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提供的服务内容质量是否符合约定</w:t>
            </w:r>
          </w:p>
        </w:tc>
        <w:tc>
          <w:tcPr>
            <w:tcW w:w="3430" w:type="dxa"/>
            <w:vAlign w:val="center"/>
          </w:tcPr>
          <w:p>
            <w:pPr>
              <w:pStyle w:val="12"/>
            </w:pPr>
            <w:r>
              <w:t>提供的运维服务内容质量是否符合要求</w:t>
            </w:r>
          </w:p>
        </w:tc>
        <w:tc>
          <w:tcPr>
            <w:tcW w:w="2551" w:type="dxa"/>
            <w:vAlign w:val="center"/>
          </w:tcPr>
          <w:p>
            <w:pPr>
              <w:pStyle w:val="12"/>
            </w:pPr>
            <w:r>
              <w:t>提供的运维服务内容质量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等保测评结果是否合格</w:t>
            </w:r>
          </w:p>
        </w:tc>
        <w:tc>
          <w:tcPr>
            <w:tcW w:w="3430" w:type="dxa"/>
            <w:vAlign w:val="center"/>
          </w:tcPr>
          <w:p>
            <w:pPr>
              <w:pStyle w:val="12"/>
            </w:pPr>
            <w:r>
              <w:t>等保测评结果是否合格（60分为标准）</w:t>
            </w:r>
          </w:p>
        </w:tc>
        <w:tc>
          <w:tcPr>
            <w:tcW w:w="2551" w:type="dxa"/>
            <w:vAlign w:val="center"/>
          </w:tcPr>
          <w:p>
            <w:pPr>
              <w:pStyle w:val="12"/>
            </w:pPr>
            <w:r>
              <w:t>60分为标准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视频会议顺利召开率</w:t>
            </w:r>
          </w:p>
        </w:tc>
        <w:tc>
          <w:tcPr>
            <w:tcW w:w="3430" w:type="dxa"/>
            <w:vAlign w:val="center"/>
          </w:tcPr>
          <w:p>
            <w:pPr>
              <w:pStyle w:val="12"/>
            </w:pPr>
            <w:r>
              <w:t>视频会议顺利召开率（顺利召开数/总召开的数）</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系统故障是否在约定时效内解决</w:t>
            </w:r>
          </w:p>
        </w:tc>
        <w:tc>
          <w:tcPr>
            <w:tcW w:w="3430" w:type="dxa"/>
            <w:vAlign w:val="center"/>
          </w:tcPr>
          <w:p>
            <w:pPr>
              <w:pStyle w:val="12"/>
            </w:pPr>
            <w:r>
              <w:t>系统故障是否在约定时效内解决</w:t>
            </w:r>
          </w:p>
        </w:tc>
        <w:tc>
          <w:tcPr>
            <w:tcW w:w="2551" w:type="dxa"/>
            <w:vAlign w:val="center"/>
          </w:tcPr>
          <w:p>
            <w:pPr>
              <w:pStyle w:val="12"/>
            </w:pPr>
            <w:r>
              <w:t>系统故障在各服务合同的约定时效内解决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服务响应时间是否符合要求</w:t>
            </w:r>
          </w:p>
        </w:tc>
        <w:tc>
          <w:tcPr>
            <w:tcW w:w="3430" w:type="dxa"/>
            <w:vAlign w:val="center"/>
          </w:tcPr>
          <w:p>
            <w:pPr>
              <w:pStyle w:val="12"/>
            </w:pPr>
            <w:r>
              <w:t>服务响应时间是否符合要求</w:t>
            </w:r>
          </w:p>
        </w:tc>
        <w:tc>
          <w:tcPr>
            <w:tcW w:w="2551" w:type="dxa"/>
            <w:vAlign w:val="center"/>
          </w:tcPr>
          <w:p>
            <w:pPr>
              <w:pStyle w:val="12"/>
            </w:pPr>
            <w:r>
              <w:t>响应时间在各合同约定时间内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是否在时限内完成采购</w:t>
            </w:r>
          </w:p>
        </w:tc>
        <w:tc>
          <w:tcPr>
            <w:tcW w:w="3430" w:type="dxa"/>
            <w:vAlign w:val="center"/>
          </w:tcPr>
          <w:p>
            <w:pPr>
              <w:pStyle w:val="12"/>
            </w:pPr>
            <w:r>
              <w:t>是否在2025年度内完成采购</w:t>
            </w:r>
          </w:p>
        </w:tc>
        <w:tc>
          <w:tcPr>
            <w:tcW w:w="2551" w:type="dxa"/>
            <w:vAlign w:val="center"/>
          </w:tcPr>
          <w:p>
            <w:pPr>
              <w:pStyle w:val="12"/>
            </w:pPr>
            <w: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是否超过项目预算</w:t>
            </w:r>
          </w:p>
        </w:tc>
        <w:tc>
          <w:tcPr>
            <w:tcW w:w="3430" w:type="dxa"/>
            <w:vAlign w:val="center"/>
          </w:tcPr>
          <w:p>
            <w:pPr>
              <w:pStyle w:val="12"/>
            </w:pPr>
            <w:r>
              <w:t>不超过项目预算144万</w:t>
            </w:r>
          </w:p>
        </w:tc>
        <w:tc>
          <w:tcPr>
            <w:tcW w:w="2551" w:type="dxa"/>
            <w:vAlign w:val="center"/>
          </w:tcPr>
          <w:p>
            <w:pPr>
              <w:pStyle w:val="12"/>
            </w:pPr>
            <w:r>
              <w:t>≤144万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提高机关办公信息化水平</w:t>
            </w:r>
          </w:p>
        </w:tc>
        <w:tc>
          <w:tcPr>
            <w:tcW w:w="3430" w:type="dxa"/>
            <w:vAlign w:val="center"/>
          </w:tcPr>
          <w:p>
            <w:pPr>
              <w:pStyle w:val="12"/>
            </w:pPr>
            <w:r>
              <w:t>提高机关办公信息化水平</w:t>
            </w:r>
          </w:p>
        </w:tc>
        <w:tc>
          <w:tcPr>
            <w:tcW w:w="2551" w:type="dxa"/>
            <w:vAlign w:val="center"/>
          </w:tcPr>
          <w:p>
            <w:pPr>
              <w:pStyle w:val="12"/>
            </w:pPr>
            <w:r>
              <w:t>显著提高机关办公信息化水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提高办文办会经济性</w:t>
            </w:r>
          </w:p>
        </w:tc>
        <w:tc>
          <w:tcPr>
            <w:tcW w:w="3430" w:type="dxa"/>
            <w:vAlign w:val="center"/>
          </w:tcPr>
          <w:p>
            <w:pPr>
              <w:pStyle w:val="12"/>
            </w:pPr>
            <w:r>
              <w:t>提高办文办会经济性，用纸、通勤等</w:t>
            </w:r>
          </w:p>
        </w:tc>
        <w:tc>
          <w:tcPr>
            <w:tcW w:w="2551" w:type="dxa"/>
            <w:vAlign w:val="center"/>
          </w:tcPr>
          <w:p>
            <w:pPr>
              <w:pStyle w:val="12"/>
            </w:pPr>
            <w:r>
              <w:t>提高办文办会经济性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提高服务企业信息化水平</w:t>
            </w:r>
          </w:p>
        </w:tc>
        <w:tc>
          <w:tcPr>
            <w:tcW w:w="3430" w:type="dxa"/>
            <w:vAlign w:val="center"/>
          </w:tcPr>
          <w:p>
            <w:pPr>
              <w:pStyle w:val="12"/>
            </w:pPr>
            <w:r>
              <w:t>提高服务企业信息化水平，监管数据收集、提交等初步实现在线监管</w:t>
            </w:r>
          </w:p>
        </w:tc>
        <w:tc>
          <w:tcPr>
            <w:tcW w:w="2551" w:type="dxa"/>
            <w:vAlign w:val="center"/>
          </w:tcPr>
          <w:p>
            <w:pPr>
              <w:pStyle w:val="12"/>
            </w:pPr>
            <w:r>
              <w:t>监管数据收集、提交等初步实现在线监管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软硬件设备是否对办公地点周边环境有不良影响</w:t>
            </w:r>
          </w:p>
        </w:tc>
        <w:tc>
          <w:tcPr>
            <w:tcW w:w="3430" w:type="dxa"/>
            <w:vAlign w:val="center"/>
          </w:tcPr>
          <w:p>
            <w:pPr>
              <w:pStyle w:val="12"/>
            </w:pPr>
            <w:r>
              <w:t>软硬件设备对办公地点周边环境是否有影响</w:t>
            </w:r>
          </w:p>
        </w:tc>
        <w:tc>
          <w:tcPr>
            <w:tcW w:w="2551" w:type="dxa"/>
            <w:vAlign w:val="center"/>
          </w:tcPr>
          <w:p>
            <w:pPr>
              <w:pStyle w:val="12"/>
            </w:pPr>
            <w:r>
              <w:t>对办公地点周边环境没有严重影响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24"/>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.天咨集团事转企退坡资金绩效目标表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天咨集团事转企退坡资金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61.70</w:t>
            </w:r>
          </w:p>
        </w:tc>
        <w:tc>
          <w:tcPr>
            <w:tcW w:w="1587" w:type="dxa"/>
            <w:vAlign w:val="center"/>
          </w:tcPr>
          <w:p>
            <w:pPr>
              <w:pStyle w:val="13"/>
            </w:pPr>
            <w:r>
              <w:t>其中：财政    资金</w:t>
            </w:r>
          </w:p>
        </w:tc>
        <w:tc>
          <w:tcPr>
            <w:tcW w:w="1843" w:type="dxa"/>
            <w:vAlign w:val="center"/>
          </w:tcPr>
          <w:p>
            <w:pPr>
              <w:pStyle w:val="12"/>
            </w:pPr>
            <w:r>
              <w:t>61.70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解决天咨集团转企前离退休人员社会保障和原事业编制内职工的住房公积金差额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1.按照事转企改制工作方案，解决天咨集团转企前离退休人员社会保障和原事业编制内职工的住房公积金差额，维护转企改制工作稳定运行。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补助人数</w:t>
            </w:r>
          </w:p>
        </w:tc>
        <w:tc>
          <w:tcPr>
            <w:tcW w:w="3430" w:type="dxa"/>
            <w:vAlign w:val="center"/>
          </w:tcPr>
          <w:p>
            <w:pPr>
              <w:pStyle w:val="12"/>
            </w:pPr>
            <w:r>
              <w:t>补助人数</w:t>
            </w:r>
          </w:p>
        </w:tc>
        <w:tc>
          <w:tcPr>
            <w:tcW w:w="2551" w:type="dxa"/>
            <w:vAlign w:val="center"/>
          </w:tcPr>
          <w:p>
            <w:pPr>
              <w:pStyle w:val="12"/>
            </w:pPr>
            <w:r>
              <w:t>55人数</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补助资金发放合规率</w:t>
            </w:r>
          </w:p>
        </w:tc>
        <w:tc>
          <w:tcPr>
            <w:tcW w:w="3430" w:type="dxa"/>
            <w:vAlign w:val="center"/>
          </w:tcPr>
          <w:p>
            <w:pPr>
              <w:pStyle w:val="12"/>
            </w:pPr>
            <w:r>
              <w:t>补助资金发放合规率</w:t>
            </w:r>
          </w:p>
        </w:tc>
        <w:tc>
          <w:tcPr>
            <w:tcW w:w="2551" w:type="dxa"/>
            <w:vAlign w:val="center"/>
          </w:tcPr>
          <w:p>
            <w:pPr>
              <w:pStyle w:val="12"/>
            </w:pPr>
            <w:r>
              <w:t>100比例</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发放完成时间</w:t>
            </w:r>
          </w:p>
        </w:tc>
        <w:tc>
          <w:tcPr>
            <w:tcW w:w="2551" w:type="dxa"/>
            <w:vAlign w:val="center"/>
          </w:tcPr>
          <w:p>
            <w:pPr>
              <w:pStyle w:val="12"/>
            </w:pPr>
            <w:r>
              <w:t>按月发放，2025年12月31日前发放完成。</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财政拨付资金发放金额</w:t>
            </w:r>
          </w:p>
        </w:tc>
        <w:tc>
          <w:tcPr>
            <w:tcW w:w="3430" w:type="dxa"/>
            <w:vAlign w:val="center"/>
          </w:tcPr>
          <w:p>
            <w:pPr>
              <w:pStyle w:val="12"/>
            </w:pPr>
            <w:r>
              <w:t>财政拨付资金发放金额</w:t>
            </w:r>
          </w:p>
        </w:tc>
        <w:tc>
          <w:tcPr>
            <w:tcW w:w="2551" w:type="dxa"/>
            <w:vAlign w:val="center"/>
          </w:tcPr>
          <w:p>
            <w:pPr>
              <w:pStyle w:val="12"/>
            </w:pPr>
            <w:r>
              <w:t>61.7万元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有效落实社会保障机制，保障事转企离退休人员的福利待遇和原事业编制职工住房公积金缴纳。</w:t>
            </w:r>
          </w:p>
        </w:tc>
        <w:tc>
          <w:tcPr>
            <w:tcW w:w="3430" w:type="dxa"/>
            <w:vAlign w:val="center"/>
          </w:tcPr>
          <w:p>
            <w:pPr>
              <w:pStyle w:val="12"/>
            </w:pPr>
            <w:r>
              <w:t>有效落实社会保障机制，保障事转企离退休人员的福利待遇和原事业编制职工住房公积金缴纳。</w:t>
            </w:r>
          </w:p>
        </w:tc>
        <w:tc>
          <w:tcPr>
            <w:tcW w:w="2551" w:type="dxa"/>
            <w:vAlign w:val="center"/>
          </w:tcPr>
          <w:p>
            <w:pPr>
              <w:pStyle w:val="12"/>
            </w:pPr>
            <w:r>
              <w:t>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职工信访率</w:t>
            </w:r>
          </w:p>
        </w:tc>
        <w:tc>
          <w:tcPr>
            <w:tcW w:w="3430" w:type="dxa"/>
            <w:vAlign w:val="center"/>
          </w:tcPr>
          <w:p>
            <w:pPr>
              <w:pStyle w:val="12"/>
            </w:pPr>
            <w:r>
              <w:t>职工信访率</w:t>
            </w:r>
          </w:p>
        </w:tc>
        <w:tc>
          <w:tcPr>
            <w:tcW w:w="2551" w:type="dxa"/>
            <w:vAlign w:val="center"/>
          </w:tcPr>
          <w:p>
            <w:pPr>
              <w:pStyle w:val="12"/>
            </w:pPr>
            <w:r>
              <w:t>≤5比例</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妥善做好事转企人员养老保险衔接的相关工作，保障人员整体安全稳定。</w:t>
            </w:r>
          </w:p>
        </w:tc>
        <w:tc>
          <w:tcPr>
            <w:tcW w:w="3430" w:type="dxa"/>
            <w:vAlign w:val="center"/>
          </w:tcPr>
          <w:p>
            <w:pPr>
              <w:pStyle w:val="12"/>
            </w:pPr>
            <w:r>
              <w:t>妥善做好事转企人员养老保险衔接的相关工作，保障人员整体安全稳定。</w:t>
            </w:r>
          </w:p>
        </w:tc>
        <w:tc>
          <w:tcPr>
            <w:tcW w:w="2551" w:type="dxa"/>
            <w:vAlign w:val="center"/>
          </w:tcPr>
          <w:p>
            <w:pPr>
              <w:pStyle w:val="12"/>
            </w:pPr>
            <w:r>
              <w:t>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受补助对象满意度</w:t>
            </w:r>
          </w:p>
        </w:tc>
        <w:tc>
          <w:tcPr>
            <w:tcW w:w="3430" w:type="dxa"/>
            <w:vAlign w:val="center"/>
          </w:tcPr>
          <w:p>
            <w:pPr>
              <w:pStyle w:val="12"/>
            </w:pPr>
            <w:r>
              <w:t>受补助对象满意度</w:t>
            </w:r>
          </w:p>
        </w:tc>
        <w:tc>
          <w:tcPr>
            <w:tcW w:w="2551" w:type="dxa"/>
            <w:vAlign w:val="center"/>
          </w:tcPr>
          <w:p>
            <w:pPr>
              <w:pStyle w:val="12"/>
            </w:pPr>
            <w:r>
              <w:t>≥85比例</w:t>
            </w:r>
          </w:p>
        </w:tc>
      </w:tr>
    </w:tbl>
    <w:p>
      <w:pPr>
        <w:sectPr>
          <w:pgSz w:w="11900" w:h="16840"/>
          <w:pgMar w:top="1984" w:right="1304" w:bottom="1134" w:left="1304" w:header="720" w:footer="720" w:gutter="0"/>
          <w:cols w:space="720" w:num="1"/>
        </w:sectPr>
      </w:pPr>
    </w:p>
    <w:p>
      <w:pPr>
        <w:jc w:val="both"/>
      </w:pPr>
    </w:p>
    <w:p>
      <w:pPr>
        <w:ind w:firstLine="560"/>
        <w:outlineLvl w:val="3"/>
      </w:pPr>
      <w:bookmarkStart w:id="12" w:name="_Toc_4_4_0000000026"/>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.增强渤化集团2025年资本实力（氢氟醚二期项目）绩效目标表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增强渤化集团2025年资本实力（氢氟醚二期项目）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w:t>
            </w:r>
          </w:p>
        </w:tc>
        <w:tc>
          <w:tcPr>
            <w:tcW w:w="1587" w:type="dxa"/>
            <w:vAlign w:val="center"/>
          </w:tcPr>
          <w:p>
            <w:pPr>
              <w:pStyle w:val="13"/>
            </w:pPr>
            <w:r>
              <w:t>其中：财政    资金</w:t>
            </w:r>
          </w:p>
        </w:tc>
        <w:tc>
          <w:tcPr>
            <w:tcW w:w="1843" w:type="dxa"/>
            <w:vAlign w:val="center"/>
          </w:tcPr>
          <w:p>
            <w:pPr>
              <w:pStyle w:val="12"/>
            </w:pPr>
            <w:r>
              <w:t>3000.00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增强渤化集团资本实力，用于氢氟醚二期项目建设。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本项目计划通过扩大含氟有机新材料生产规模，助力氟化工产业实现补链强链，同时充分发挥自主创新优势，不断丰富产品种类，促进氟化工产业整体抗风险能力和综合竞争实力进一步提升。主要包括：一是加快推动项目建设，完成战略新兴产业投资不少于17000万元，资金使用合规率达到100%。二是年内项目土建工程具备交安条件，建筑面积不少于6600平方米，厂房预计使用年限不少于20年。三是启动设备安装，设备购置数量不少于10台。四是为配合项目建设，开展人员招聘，新增就业规模大于10人。五是车间人员对新建项目环境的满意度不低于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建筑面积</w:t>
            </w:r>
          </w:p>
        </w:tc>
        <w:tc>
          <w:tcPr>
            <w:tcW w:w="3430" w:type="dxa"/>
            <w:vAlign w:val="center"/>
          </w:tcPr>
          <w:p>
            <w:pPr>
              <w:pStyle w:val="12"/>
            </w:pPr>
            <w:r>
              <w:t>建筑面积</w:t>
            </w:r>
          </w:p>
        </w:tc>
        <w:tc>
          <w:tcPr>
            <w:tcW w:w="2551" w:type="dxa"/>
            <w:vAlign w:val="center"/>
          </w:tcPr>
          <w:p>
            <w:pPr>
              <w:pStyle w:val="12"/>
            </w:pPr>
            <w:r>
              <w:t>&gt;6600平方米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设备购置数量</w:t>
            </w:r>
          </w:p>
        </w:tc>
        <w:tc>
          <w:tcPr>
            <w:tcW w:w="3430" w:type="dxa"/>
            <w:vAlign w:val="center"/>
          </w:tcPr>
          <w:p>
            <w:pPr>
              <w:pStyle w:val="12"/>
            </w:pPr>
            <w:r>
              <w:t>设备购置数量</w:t>
            </w:r>
          </w:p>
        </w:tc>
        <w:tc>
          <w:tcPr>
            <w:tcW w:w="2551" w:type="dxa"/>
            <w:vAlign w:val="center"/>
          </w:tcPr>
          <w:p>
            <w:pPr>
              <w:pStyle w:val="12"/>
            </w:pPr>
            <w:r>
              <w:t>≥10台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设计质量</w:t>
            </w:r>
          </w:p>
        </w:tc>
        <w:tc>
          <w:tcPr>
            <w:tcW w:w="3430" w:type="dxa"/>
            <w:vAlign w:val="center"/>
          </w:tcPr>
          <w:p>
            <w:pPr>
              <w:pStyle w:val="12"/>
            </w:pPr>
            <w:r>
              <w:t>设计质量</w:t>
            </w:r>
          </w:p>
        </w:tc>
        <w:tc>
          <w:tcPr>
            <w:tcW w:w="2551" w:type="dxa"/>
            <w:vAlign w:val="center"/>
          </w:tcPr>
          <w:p>
            <w:pPr>
              <w:pStyle w:val="12"/>
            </w:pPr>
            <w:r>
              <w:t>符合设计规范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建设质量</w:t>
            </w:r>
          </w:p>
        </w:tc>
        <w:tc>
          <w:tcPr>
            <w:tcW w:w="3430" w:type="dxa"/>
            <w:vAlign w:val="center"/>
          </w:tcPr>
          <w:p>
            <w:pPr>
              <w:pStyle w:val="12"/>
            </w:pPr>
            <w:r>
              <w:t>建设质量</w:t>
            </w:r>
          </w:p>
        </w:tc>
        <w:tc>
          <w:tcPr>
            <w:tcW w:w="2551" w:type="dxa"/>
            <w:vAlign w:val="center"/>
          </w:tcPr>
          <w:p>
            <w:pPr>
              <w:pStyle w:val="12"/>
            </w:pPr>
            <w:r>
              <w:t>符合建设规范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土建完成率</w:t>
            </w:r>
          </w:p>
        </w:tc>
        <w:tc>
          <w:tcPr>
            <w:tcW w:w="3430" w:type="dxa"/>
            <w:vAlign w:val="center"/>
          </w:tcPr>
          <w:p>
            <w:pPr>
              <w:pStyle w:val="12"/>
            </w:pPr>
            <w:r>
              <w:t>土建完成率</w:t>
            </w:r>
          </w:p>
        </w:tc>
        <w:tc>
          <w:tcPr>
            <w:tcW w:w="2551" w:type="dxa"/>
            <w:vAlign w:val="center"/>
          </w:tcPr>
          <w:p>
            <w:pPr>
              <w:pStyle w:val="12"/>
            </w:pPr>
            <w:r>
              <w:t>&gt;60%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设备安装完成率</w:t>
            </w:r>
          </w:p>
        </w:tc>
        <w:tc>
          <w:tcPr>
            <w:tcW w:w="3430" w:type="dxa"/>
            <w:vAlign w:val="center"/>
          </w:tcPr>
          <w:p>
            <w:pPr>
              <w:pStyle w:val="12"/>
            </w:pPr>
            <w:r>
              <w:t>设备安装完成率</w:t>
            </w:r>
          </w:p>
        </w:tc>
        <w:tc>
          <w:tcPr>
            <w:tcW w:w="2551" w:type="dxa"/>
            <w:vAlign w:val="center"/>
          </w:tcPr>
          <w:p>
            <w:pPr>
              <w:pStyle w:val="12"/>
            </w:pPr>
            <w:r>
              <w:t>&gt;10%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设备材料购置费</w:t>
            </w:r>
          </w:p>
        </w:tc>
        <w:tc>
          <w:tcPr>
            <w:tcW w:w="3430" w:type="dxa"/>
            <w:vAlign w:val="center"/>
          </w:tcPr>
          <w:p>
            <w:pPr>
              <w:pStyle w:val="12"/>
            </w:pPr>
            <w:r>
              <w:t>利用国有资本经营预算资金支付设备材料购置费</w:t>
            </w:r>
          </w:p>
        </w:tc>
        <w:tc>
          <w:tcPr>
            <w:tcW w:w="2551" w:type="dxa"/>
            <w:vAlign w:val="center"/>
          </w:tcPr>
          <w:p>
            <w:pPr>
              <w:pStyle w:val="12"/>
            </w:pPr>
            <w:r>
              <w:t>≥1500万元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建筑安装工程费</w:t>
            </w:r>
          </w:p>
        </w:tc>
        <w:tc>
          <w:tcPr>
            <w:tcW w:w="3430" w:type="dxa"/>
            <w:vAlign w:val="center"/>
          </w:tcPr>
          <w:p>
            <w:pPr>
              <w:pStyle w:val="12"/>
            </w:pPr>
            <w:r>
              <w:t>利用国有资本经营预算资金支付建筑安装工程费</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其他费用</w:t>
            </w:r>
          </w:p>
        </w:tc>
        <w:tc>
          <w:tcPr>
            <w:tcW w:w="3430" w:type="dxa"/>
            <w:vAlign w:val="center"/>
          </w:tcPr>
          <w:p>
            <w:pPr>
              <w:pStyle w:val="12"/>
            </w:pPr>
            <w:r>
              <w:t>利用国有资本经营预算资金支付其他费用</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战略新兴产业投资</w:t>
            </w:r>
          </w:p>
        </w:tc>
        <w:tc>
          <w:tcPr>
            <w:tcW w:w="3430" w:type="dxa"/>
            <w:vAlign w:val="center"/>
          </w:tcPr>
          <w:p>
            <w:pPr>
              <w:pStyle w:val="12"/>
            </w:pPr>
            <w:r>
              <w:t>战略新兴产业投资</w:t>
            </w:r>
          </w:p>
        </w:tc>
        <w:tc>
          <w:tcPr>
            <w:tcW w:w="2551" w:type="dxa"/>
            <w:vAlign w:val="center"/>
          </w:tcPr>
          <w:p>
            <w:pPr>
              <w:pStyle w:val="12"/>
            </w:pPr>
            <w:r>
              <w:t>≥1.7亿元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市场开拓</w:t>
            </w:r>
          </w:p>
        </w:tc>
        <w:tc>
          <w:tcPr>
            <w:tcW w:w="3430" w:type="dxa"/>
            <w:vAlign w:val="center"/>
          </w:tcPr>
          <w:p>
            <w:pPr>
              <w:pStyle w:val="12"/>
            </w:pPr>
            <w:r>
              <w:t>市场开拓</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新增就业规模</w:t>
            </w:r>
          </w:p>
        </w:tc>
        <w:tc>
          <w:tcPr>
            <w:tcW w:w="3430" w:type="dxa"/>
            <w:vAlign w:val="center"/>
          </w:tcPr>
          <w:p>
            <w:pPr>
              <w:pStyle w:val="12"/>
            </w:pPr>
            <w:r>
              <w:t>新增就业规模</w:t>
            </w:r>
          </w:p>
        </w:tc>
        <w:tc>
          <w:tcPr>
            <w:tcW w:w="2551" w:type="dxa"/>
            <w:vAlign w:val="center"/>
          </w:tcPr>
          <w:p>
            <w:pPr>
              <w:pStyle w:val="12"/>
            </w:pPr>
            <w:r>
              <w:t>&gt;10人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厂房使用年限</w:t>
            </w:r>
          </w:p>
        </w:tc>
        <w:tc>
          <w:tcPr>
            <w:tcW w:w="3430" w:type="dxa"/>
            <w:vAlign w:val="center"/>
          </w:tcPr>
          <w:p>
            <w:pPr>
              <w:pStyle w:val="12"/>
            </w:pPr>
            <w:r>
              <w:t>厂房使用年限</w:t>
            </w:r>
          </w:p>
        </w:tc>
        <w:tc>
          <w:tcPr>
            <w:tcW w:w="2551" w:type="dxa"/>
            <w:vAlign w:val="center"/>
          </w:tcPr>
          <w:p>
            <w:pPr>
              <w:pStyle w:val="12"/>
            </w:pPr>
            <w:r>
              <w:t>≥20年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车间使用人员满意度</w:t>
            </w:r>
          </w:p>
        </w:tc>
        <w:tc>
          <w:tcPr>
            <w:tcW w:w="3430" w:type="dxa"/>
            <w:vAlign w:val="center"/>
          </w:tcPr>
          <w:p>
            <w:pPr>
              <w:pStyle w:val="12"/>
            </w:pPr>
            <w:r>
              <w:t>车间使用人员满意度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27"/>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.增强公交集团资本实力（2025年）绩效目标表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增强公交集团资本实力（2025年）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21000.00</w:t>
            </w:r>
          </w:p>
        </w:tc>
        <w:tc>
          <w:tcPr>
            <w:tcW w:w="1587" w:type="dxa"/>
            <w:vAlign w:val="center"/>
          </w:tcPr>
          <w:p>
            <w:pPr>
              <w:pStyle w:val="13"/>
            </w:pPr>
            <w:r>
              <w:t>其中：财政    资金</w:t>
            </w:r>
          </w:p>
        </w:tc>
        <w:tc>
          <w:tcPr>
            <w:tcW w:w="1843" w:type="dxa"/>
            <w:vAlign w:val="center"/>
          </w:tcPr>
          <w:p>
            <w:pPr>
              <w:pStyle w:val="12"/>
            </w:pPr>
            <w:r>
              <w:t>21000.00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增强公交集团资本实力，化解经营风险。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增资，增强公交集团资本实力，化解经营风险，改善财务状况，增强服务保障能力，不断提高公交运营服务质量，确保公交企业运营稳定，助力企业改革，推动企业持续良性发展，为市民百姓提供绿色、安全、智慧、多元、贴心、舒适的高品质公交出行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营业执照变更完成率</w:t>
            </w:r>
          </w:p>
        </w:tc>
        <w:tc>
          <w:tcPr>
            <w:tcW w:w="3430" w:type="dxa"/>
            <w:vAlign w:val="center"/>
          </w:tcPr>
          <w:p>
            <w:pPr>
              <w:pStyle w:val="12"/>
            </w:pPr>
            <w:r>
              <w:t>营业执照注册资本变更完成率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章程修正注册资本完成率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运营公里</w:t>
            </w:r>
          </w:p>
        </w:tc>
        <w:tc>
          <w:tcPr>
            <w:tcW w:w="3430" w:type="dxa"/>
            <w:vAlign w:val="center"/>
          </w:tcPr>
          <w:p>
            <w:pPr>
              <w:pStyle w:val="12"/>
            </w:pPr>
            <w:r>
              <w:t>年运营公里完成</w:t>
            </w:r>
          </w:p>
        </w:tc>
        <w:tc>
          <w:tcPr>
            <w:tcW w:w="2551" w:type="dxa"/>
            <w:vAlign w:val="center"/>
          </w:tcPr>
          <w:p>
            <w:pPr>
              <w:pStyle w:val="12"/>
            </w:pPr>
            <w:r>
              <w:t>≥3亿公里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作业计划公里完成率</w:t>
            </w:r>
          </w:p>
        </w:tc>
        <w:tc>
          <w:tcPr>
            <w:tcW w:w="3430" w:type="dxa"/>
            <w:vAlign w:val="center"/>
          </w:tcPr>
          <w:p>
            <w:pPr>
              <w:pStyle w:val="12"/>
            </w:pPr>
            <w:r>
              <w:t>年作业计划公里完成率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客运量人次</w:t>
            </w:r>
          </w:p>
        </w:tc>
        <w:tc>
          <w:tcPr>
            <w:tcW w:w="3430" w:type="dxa"/>
            <w:vAlign w:val="center"/>
          </w:tcPr>
          <w:p>
            <w:pPr>
              <w:pStyle w:val="12"/>
            </w:pPr>
            <w:r>
              <w:t>年客运量人次完成</w:t>
            </w:r>
          </w:p>
        </w:tc>
        <w:tc>
          <w:tcPr>
            <w:tcW w:w="2551" w:type="dxa"/>
            <w:vAlign w:val="center"/>
          </w:tcPr>
          <w:p>
            <w:pPr>
              <w:pStyle w:val="12"/>
            </w:pPr>
            <w:r>
              <w:t>≥3.8亿人次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记账科目合规</w:t>
            </w:r>
          </w:p>
        </w:tc>
        <w:tc>
          <w:tcPr>
            <w:tcW w:w="2551" w:type="dxa"/>
            <w:vAlign w:val="center"/>
          </w:tcPr>
          <w:p>
            <w:pPr>
              <w:pStyle w:val="12"/>
            </w:pPr>
            <w:r>
              <w:t>记账科目合规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章程修正及时性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营业执照变更及时性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拨付时间</w:t>
            </w:r>
          </w:p>
        </w:tc>
        <w:tc>
          <w:tcPr>
            <w:tcW w:w="3430" w:type="dxa"/>
            <w:vAlign w:val="center"/>
          </w:tcPr>
          <w:p>
            <w:pPr>
              <w:pStyle w:val="12"/>
            </w:pPr>
            <w:r>
              <w:t>审核通过后5个工作日之内拨付到位</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≤21000万元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年修保材料费完成</w:t>
            </w:r>
          </w:p>
        </w:tc>
        <w:tc>
          <w:tcPr>
            <w:tcW w:w="2551" w:type="dxa"/>
            <w:vAlign w:val="center"/>
          </w:tcPr>
          <w:p>
            <w:pPr>
              <w:pStyle w:val="12"/>
            </w:pPr>
            <w:r>
              <w:t>≤400元/千公里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年纯电动公交车能耗单耗完成</w:t>
            </w:r>
          </w:p>
        </w:tc>
        <w:tc>
          <w:tcPr>
            <w:tcW w:w="2551" w:type="dxa"/>
            <w:vAlign w:val="center"/>
          </w:tcPr>
          <w:p>
            <w:pPr>
              <w:pStyle w:val="12"/>
            </w:pPr>
            <w:r>
              <w:t>≤110度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年燃油公交车能耗单耗完成</w:t>
            </w:r>
          </w:p>
        </w:tc>
        <w:tc>
          <w:tcPr>
            <w:tcW w:w="2551" w:type="dxa"/>
            <w:vAlign w:val="center"/>
          </w:tcPr>
          <w:p>
            <w:pPr>
              <w:pStyle w:val="12"/>
            </w:pPr>
            <w:r>
              <w:t>≤28升/百公里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票款收入</w:t>
            </w:r>
          </w:p>
        </w:tc>
        <w:tc>
          <w:tcPr>
            <w:tcW w:w="3430" w:type="dxa"/>
            <w:vAlign w:val="center"/>
          </w:tcPr>
          <w:p>
            <w:pPr>
              <w:pStyle w:val="12"/>
            </w:pPr>
            <w:r>
              <w:t>年票款收入完成</w:t>
            </w:r>
          </w:p>
        </w:tc>
        <w:tc>
          <w:tcPr>
            <w:tcW w:w="2551" w:type="dxa"/>
            <w:vAlign w:val="center"/>
          </w:tcPr>
          <w:p>
            <w:pPr>
              <w:pStyle w:val="12"/>
            </w:pPr>
            <w:r>
              <w:t>≥3.2亿元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定制公交收入</w:t>
            </w:r>
          </w:p>
        </w:tc>
        <w:tc>
          <w:tcPr>
            <w:tcW w:w="3430" w:type="dxa"/>
            <w:vAlign w:val="center"/>
          </w:tcPr>
          <w:p>
            <w:pPr>
              <w:pStyle w:val="12"/>
            </w:pPr>
            <w:r>
              <w:t>年定制公交收入完成</w:t>
            </w:r>
          </w:p>
        </w:tc>
        <w:tc>
          <w:tcPr>
            <w:tcW w:w="2551" w:type="dxa"/>
            <w:vAlign w:val="center"/>
          </w:tcPr>
          <w:p>
            <w:pPr>
              <w:pStyle w:val="12"/>
            </w:pPr>
            <w: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新能源公交车占比</w:t>
            </w:r>
          </w:p>
        </w:tc>
        <w:tc>
          <w:tcPr>
            <w:tcW w:w="3430" w:type="dxa"/>
            <w:vAlign w:val="center"/>
          </w:tcPr>
          <w:p>
            <w:pPr>
              <w:pStyle w:val="12"/>
            </w:pPr>
            <w:r>
              <w:t>新能源公交车占比</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税费贡献</w:t>
            </w:r>
          </w:p>
        </w:tc>
        <w:tc>
          <w:tcPr>
            <w:tcW w:w="3430" w:type="dxa"/>
            <w:vAlign w:val="center"/>
          </w:tcPr>
          <w:p>
            <w:pPr>
              <w:pStyle w:val="12"/>
            </w:pPr>
            <w:r>
              <w:t>年税费贡献</w:t>
            </w:r>
          </w:p>
        </w:tc>
        <w:tc>
          <w:tcPr>
            <w:tcW w:w="2551" w:type="dxa"/>
            <w:vAlign w:val="center"/>
          </w:tcPr>
          <w:p>
            <w:pPr>
              <w:pStyle w:val="12"/>
            </w:pPr>
            <w:r>
              <w:t>≥5500万元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资产负债率</w:t>
            </w:r>
          </w:p>
        </w:tc>
        <w:tc>
          <w:tcPr>
            <w:tcW w:w="3430" w:type="dxa"/>
            <w:vAlign w:val="center"/>
          </w:tcPr>
          <w:p>
            <w:pPr>
              <w:pStyle w:val="12"/>
            </w:pPr>
            <w:r>
              <w:t>合并报表资产负债率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乘客满意度</w:t>
            </w:r>
          </w:p>
        </w:tc>
        <w:tc>
          <w:tcPr>
            <w:tcW w:w="3430" w:type="dxa"/>
            <w:vAlign w:val="center"/>
          </w:tcPr>
          <w:p>
            <w:pPr>
              <w:pStyle w:val="12"/>
            </w:pPr>
            <w:r>
              <w:t>乘客满意度</w:t>
            </w:r>
          </w:p>
        </w:tc>
        <w:tc>
          <w:tcPr>
            <w:tcW w:w="2551" w:type="dxa"/>
            <w:vAlign w:val="center"/>
          </w:tcPr>
          <w:p>
            <w:pPr>
              <w:pStyle w:val="12"/>
            </w:pPr>
            <w:r>
              <w:t>≥85百分比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28"/>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.增强公交集团资本实力（2025年度）绩效目标表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增强公交集团资本实力（2025年度）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w:t>
            </w:r>
          </w:p>
        </w:tc>
        <w:tc>
          <w:tcPr>
            <w:tcW w:w="1587" w:type="dxa"/>
            <w:vAlign w:val="center"/>
          </w:tcPr>
          <w:p>
            <w:pPr>
              <w:pStyle w:val="13"/>
            </w:pPr>
            <w:r>
              <w:t>其中：财政    资金</w:t>
            </w:r>
          </w:p>
        </w:tc>
        <w:tc>
          <w:tcPr>
            <w:tcW w:w="1843" w:type="dxa"/>
            <w:vAlign w:val="center"/>
          </w:tcPr>
          <w:p>
            <w:pPr>
              <w:pStyle w:val="12"/>
            </w:pPr>
            <w:r>
              <w:t>30000.00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增强公交集团资本实力，化解经营风险。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增资，增强公交集团资本实力，化解经营风险，改善财务状况，增强服务保障能力，不断提高公交运营服务质量，确保公交企业运营稳定，助力企业改革，推动企业持续良性发展，为市民百姓提供绿色、安全、智慧、多元、贴心、舒适的高品质公交出行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营业执照变更完成率</w:t>
            </w:r>
          </w:p>
        </w:tc>
        <w:tc>
          <w:tcPr>
            <w:tcW w:w="3430" w:type="dxa"/>
            <w:vAlign w:val="center"/>
          </w:tcPr>
          <w:p>
            <w:pPr>
              <w:pStyle w:val="12"/>
            </w:pPr>
            <w:r>
              <w:t>营业执照注册资本变更完成率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章程修正注册资本完成率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运营公里</w:t>
            </w:r>
          </w:p>
        </w:tc>
        <w:tc>
          <w:tcPr>
            <w:tcW w:w="3430" w:type="dxa"/>
            <w:vAlign w:val="center"/>
          </w:tcPr>
          <w:p>
            <w:pPr>
              <w:pStyle w:val="12"/>
            </w:pPr>
            <w:r>
              <w:t>年运营公里完成</w:t>
            </w:r>
          </w:p>
        </w:tc>
        <w:tc>
          <w:tcPr>
            <w:tcW w:w="2551" w:type="dxa"/>
            <w:vAlign w:val="center"/>
          </w:tcPr>
          <w:p>
            <w:pPr>
              <w:pStyle w:val="12"/>
            </w:pPr>
            <w:r>
              <w:t>≥3亿公里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作业计划公里完成率</w:t>
            </w:r>
          </w:p>
        </w:tc>
        <w:tc>
          <w:tcPr>
            <w:tcW w:w="3430" w:type="dxa"/>
            <w:vAlign w:val="center"/>
          </w:tcPr>
          <w:p>
            <w:pPr>
              <w:pStyle w:val="12"/>
            </w:pPr>
            <w:r>
              <w:t>年作业计划公里完成率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客运量人次</w:t>
            </w:r>
          </w:p>
        </w:tc>
        <w:tc>
          <w:tcPr>
            <w:tcW w:w="3430" w:type="dxa"/>
            <w:vAlign w:val="center"/>
          </w:tcPr>
          <w:p>
            <w:pPr>
              <w:pStyle w:val="12"/>
            </w:pPr>
            <w:r>
              <w:t>年客运量人次完成</w:t>
            </w:r>
          </w:p>
        </w:tc>
        <w:tc>
          <w:tcPr>
            <w:tcW w:w="2551" w:type="dxa"/>
            <w:vAlign w:val="center"/>
          </w:tcPr>
          <w:p>
            <w:pPr>
              <w:pStyle w:val="12"/>
            </w:pPr>
            <w:r>
              <w:t>≥3.8亿人次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记账科目合规</w:t>
            </w:r>
          </w:p>
        </w:tc>
        <w:tc>
          <w:tcPr>
            <w:tcW w:w="2551" w:type="dxa"/>
            <w:vAlign w:val="center"/>
          </w:tcPr>
          <w:p>
            <w:pPr>
              <w:pStyle w:val="12"/>
            </w:pPr>
            <w:r>
              <w:t>记账科目合规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章程修正及时性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营业执照变更及时性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拨付时间</w:t>
            </w:r>
          </w:p>
        </w:tc>
        <w:tc>
          <w:tcPr>
            <w:tcW w:w="3430" w:type="dxa"/>
            <w:vAlign w:val="center"/>
          </w:tcPr>
          <w:p>
            <w:pPr>
              <w:pStyle w:val="12"/>
            </w:pPr>
            <w:r>
              <w:t>审核通过后5个工作日之内拨付到位</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≤30000万元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年修保材料费完成</w:t>
            </w:r>
          </w:p>
        </w:tc>
        <w:tc>
          <w:tcPr>
            <w:tcW w:w="2551" w:type="dxa"/>
            <w:vAlign w:val="center"/>
          </w:tcPr>
          <w:p>
            <w:pPr>
              <w:pStyle w:val="12"/>
            </w:pPr>
            <w:r>
              <w:t>≤400元/千公里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年纯电动公交车能耗单耗完成</w:t>
            </w:r>
          </w:p>
        </w:tc>
        <w:tc>
          <w:tcPr>
            <w:tcW w:w="2551" w:type="dxa"/>
            <w:vAlign w:val="center"/>
          </w:tcPr>
          <w:p>
            <w:pPr>
              <w:pStyle w:val="12"/>
            </w:pPr>
            <w:r>
              <w:t>≤110度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年燃油公交车能耗单耗完成</w:t>
            </w:r>
          </w:p>
        </w:tc>
        <w:tc>
          <w:tcPr>
            <w:tcW w:w="2551" w:type="dxa"/>
            <w:vAlign w:val="center"/>
          </w:tcPr>
          <w:p>
            <w:pPr>
              <w:pStyle w:val="12"/>
            </w:pPr>
            <w:r>
              <w:t>≤28升/百公里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票款收入</w:t>
            </w:r>
          </w:p>
        </w:tc>
        <w:tc>
          <w:tcPr>
            <w:tcW w:w="3430" w:type="dxa"/>
            <w:vAlign w:val="center"/>
          </w:tcPr>
          <w:p>
            <w:pPr>
              <w:pStyle w:val="12"/>
            </w:pPr>
            <w:r>
              <w:t>年票款收入完成</w:t>
            </w:r>
          </w:p>
        </w:tc>
        <w:tc>
          <w:tcPr>
            <w:tcW w:w="2551" w:type="dxa"/>
            <w:vAlign w:val="center"/>
          </w:tcPr>
          <w:p>
            <w:pPr>
              <w:pStyle w:val="12"/>
            </w:pPr>
            <w:r>
              <w:t>≥3.2亿元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定制公交收入</w:t>
            </w:r>
          </w:p>
        </w:tc>
        <w:tc>
          <w:tcPr>
            <w:tcW w:w="3430" w:type="dxa"/>
            <w:vAlign w:val="center"/>
          </w:tcPr>
          <w:p>
            <w:pPr>
              <w:pStyle w:val="12"/>
            </w:pPr>
            <w:r>
              <w:t>年定制公交收入完成</w:t>
            </w:r>
          </w:p>
        </w:tc>
        <w:tc>
          <w:tcPr>
            <w:tcW w:w="2551" w:type="dxa"/>
            <w:vAlign w:val="center"/>
          </w:tcPr>
          <w:p>
            <w:pPr>
              <w:pStyle w:val="12"/>
            </w:pPr>
            <w: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新能源公交车占比</w:t>
            </w:r>
          </w:p>
        </w:tc>
        <w:tc>
          <w:tcPr>
            <w:tcW w:w="3430" w:type="dxa"/>
            <w:vAlign w:val="center"/>
          </w:tcPr>
          <w:p>
            <w:pPr>
              <w:pStyle w:val="12"/>
            </w:pPr>
            <w:r>
              <w:t>新能源公交车占比</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税费贡献</w:t>
            </w:r>
          </w:p>
        </w:tc>
        <w:tc>
          <w:tcPr>
            <w:tcW w:w="3430" w:type="dxa"/>
            <w:vAlign w:val="center"/>
          </w:tcPr>
          <w:p>
            <w:pPr>
              <w:pStyle w:val="12"/>
            </w:pPr>
            <w:r>
              <w:t>年税费贡献</w:t>
            </w:r>
          </w:p>
        </w:tc>
        <w:tc>
          <w:tcPr>
            <w:tcW w:w="2551" w:type="dxa"/>
            <w:vAlign w:val="center"/>
          </w:tcPr>
          <w:p>
            <w:pPr>
              <w:pStyle w:val="12"/>
            </w:pPr>
            <w:r>
              <w:t>≥5500万元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资产负债率</w:t>
            </w:r>
          </w:p>
        </w:tc>
        <w:tc>
          <w:tcPr>
            <w:tcW w:w="3430" w:type="dxa"/>
            <w:vAlign w:val="center"/>
          </w:tcPr>
          <w:p>
            <w:pPr>
              <w:pStyle w:val="12"/>
            </w:pPr>
            <w:r>
              <w:t>合并报表资产负债率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乘客满意度</w:t>
            </w:r>
          </w:p>
        </w:tc>
        <w:tc>
          <w:tcPr>
            <w:tcW w:w="3430" w:type="dxa"/>
            <w:vAlign w:val="center"/>
          </w:tcPr>
          <w:p>
            <w:pPr>
              <w:pStyle w:val="12"/>
            </w:pPr>
            <w:r>
              <w:t>乘客满意度</w:t>
            </w:r>
          </w:p>
        </w:tc>
        <w:tc>
          <w:tcPr>
            <w:tcW w:w="2551" w:type="dxa"/>
            <w:vAlign w:val="center"/>
          </w:tcPr>
          <w:p>
            <w:pPr>
              <w:pStyle w:val="12"/>
            </w:pPr>
            <w:r>
              <w:t>≥85百分比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29"/>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.增强轨道集团资本实力（2025年度）绩效目标表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增强轨道集团资本实力（2025年度）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w:t>
            </w:r>
          </w:p>
        </w:tc>
        <w:tc>
          <w:tcPr>
            <w:tcW w:w="1587" w:type="dxa"/>
            <w:vAlign w:val="center"/>
          </w:tcPr>
          <w:p>
            <w:pPr>
              <w:pStyle w:val="13"/>
            </w:pPr>
            <w:r>
              <w:t>其中：财政    资金</w:t>
            </w:r>
          </w:p>
        </w:tc>
        <w:tc>
          <w:tcPr>
            <w:tcW w:w="1843" w:type="dxa"/>
            <w:vAlign w:val="center"/>
          </w:tcPr>
          <w:p>
            <w:pPr>
              <w:pStyle w:val="12"/>
            </w:pPr>
            <w:r>
              <w:t>10000.00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增强轨道集团资本实力，全部用于化解债务。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拨付资金，增强轨道集团资本实力，进一步控制资产负债率水平，保障资产负债率控制在60%以下，防止出现债务风险。集团继续锚定建设运营和资源开发双并重，积极培育客流实现自身运营的地铁线路地铁票款收入达到44290万元以上，客流量24970万人次以上。以三量工作为抓手，不断盘活资产，提升自身的造血功能，增强轨道集团的偿债能力，提高公司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增资企业户数</w:t>
            </w:r>
          </w:p>
        </w:tc>
        <w:tc>
          <w:tcPr>
            <w:tcW w:w="3430" w:type="dxa"/>
            <w:vAlign w:val="center"/>
          </w:tcPr>
          <w:p>
            <w:pPr>
              <w:pStyle w:val="12"/>
            </w:pPr>
            <w:r>
              <w:t>增资企业户数</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5、6、9、10号线客运量</w:t>
            </w:r>
          </w:p>
        </w:tc>
        <w:tc>
          <w:tcPr>
            <w:tcW w:w="3430" w:type="dxa"/>
            <w:vAlign w:val="center"/>
          </w:tcPr>
          <w:p>
            <w:pPr>
              <w:pStyle w:val="12"/>
            </w:pPr>
            <w:r>
              <w:t>5、6、9、10号线客运量</w:t>
            </w:r>
          </w:p>
        </w:tc>
        <w:tc>
          <w:tcPr>
            <w:tcW w:w="2551" w:type="dxa"/>
            <w:vAlign w:val="center"/>
          </w:tcPr>
          <w:p>
            <w:pPr>
              <w:pStyle w:val="12"/>
            </w:pPr>
            <w:r>
              <w:t>≥24970万人次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企业工商变更完成率</w:t>
            </w:r>
          </w:p>
        </w:tc>
        <w:tc>
          <w:tcPr>
            <w:tcW w:w="3430" w:type="dxa"/>
            <w:vAlign w:val="center"/>
          </w:tcPr>
          <w:p>
            <w:pPr>
              <w:pStyle w:val="12"/>
            </w:pPr>
            <w:r>
              <w:t>企业工商变更完成率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保障资金合规使用，全部用于化解债务，资金使用合规率100%</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财务处理合规性</w:t>
            </w:r>
          </w:p>
        </w:tc>
        <w:tc>
          <w:tcPr>
            <w:tcW w:w="3430" w:type="dxa"/>
            <w:vAlign w:val="center"/>
          </w:tcPr>
          <w:p>
            <w:pPr>
              <w:pStyle w:val="12"/>
            </w:pPr>
            <w:r>
              <w:t>财务处理合规性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企业章程修订合规性</w:t>
            </w:r>
          </w:p>
        </w:tc>
        <w:tc>
          <w:tcPr>
            <w:tcW w:w="3430" w:type="dxa"/>
            <w:vAlign w:val="center"/>
          </w:tcPr>
          <w:p>
            <w:pPr>
              <w:pStyle w:val="12"/>
            </w:pPr>
            <w:r>
              <w:t>企业章程修订合规性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资金到位准时率</w:t>
            </w:r>
          </w:p>
        </w:tc>
        <w:tc>
          <w:tcPr>
            <w:tcW w:w="3430" w:type="dxa"/>
            <w:vAlign w:val="center"/>
          </w:tcPr>
          <w:p>
            <w:pPr>
              <w:pStyle w:val="12"/>
            </w:pPr>
            <w:r>
              <w:t>资金在2025年12月31日之前拨付到位</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企业工商登记变更及时性</w:t>
            </w:r>
          </w:p>
        </w:tc>
        <w:tc>
          <w:tcPr>
            <w:tcW w:w="3430" w:type="dxa"/>
            <w:vAlign w:val="center"/>
          </w:tcPr>
          <w:p>
            <w:pPr>
              <w:pStyle w:val="12"/>
            </w:pPr>
            <w:r>
              <w:t>资金到位后30个工作日内办理完成工商登记</w:t>
            </w:r>
          </w:p>
        </w:tc>
        <w:tc>
          <w:tcPr>
            <w:tcW w:w="2551" w:type="dxa"/>
            <w:vAlign w:val="center"/>
          </w:tcPr>
          <w:p>
            <w:pPr>
              <w:pStyle w:val="12"/>
            </w:pPr>
            <w:r>
              <w:t>资金到位后30个工作日内办理完成工商登记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足额拨付</w:t>
            </w:r>
          </w:p>
        </w:tc>
        <w:tc>
          <w:tcPr>
            <w:tcW w:w="3430" w:type="dxa"/>
            <w:vAlign w:val="center"/>
          </w:tcPr>
          <w:p>
            <w:pPr>
              <w:pStyle w:val="12"/>
            </w:pPr>
            <w:r>
              <w:t>足额拨付</w:t>
            </w:r>
          </w:p>
        </w:tc>
        <w:tc>
          <w:tcPr>
            <w:tcW w:w="2551" w:type="dxa"/>
            <w:vAlign w:val="center"/>
          </w:tcPr>
          <w:p>
            <w:pPr>
              <w:pStyle w:val="1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化解债务</w:t>
            </w:r>
          </w:p>
        </w:tc>
        <w:tc>
          <w:tcPr>
            <w:tcW w:w="3430" w:type="dxa"/>
            <w:vAlign w:val="center"/>
          </w:tcPr>
          <w:p>
            <w:pPr>
              <w:pStyle w:val="12"/>
            </w:pPr>
            <w:r>
              <w:t>化解债务</w:t>
            </w:r>
          </w:p>
        </w:tc>
        <w:tc>
          <w:tcPr>
            <w:tcW w:w="2551" w:type="dxa"/>
            <w:vAlign w:val="center"/>
          </w:tcPr>
          <w:p>
            <w:pPr>
              <w:pStyle w:val="1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利润总额</w:t>
            </w:r>
          </w:p>
        </w:tc>
        <w:tc>
          <w:tcPr>
            <w:tcW w:w="3430" w:type="dxa"/>
            <w:vAlign w:val="center"/>
          </w:tcPr>
          <w:p>
            <w:pPr>
              <w:pStyle w:val="12"/>
            </w:pPr>
            <w:r>
              <w:t>利润总额</w:t>
            </w:r>
          </w:p>
        </w:tc>
        <w:tc>
          <w:tcPr>
            <w:tcW w:w="2551" w:type="dxa"/>
            <w:vAlign w:val="center"/>
          </w:tcPr>
          <w:p>
            <w:pPr>
              <w:pStyle w:val="12"/>
            </w:pPr>
            <w:r>
              <w:t>≥89000万元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5、6、9、10号线票款收入</w:t>
            </w:r>
          </w:p>
        </w:tc>
        <w:tc>
          <w:tcPr>
            <w:tcW w:w="3430" w:type="dxa"/>
            <w:vAlign w:val="center"/>
          </w:tcPr>
          <w:p>
            <w:pPr>
              <w:pStyle w:val="12"/>
            </w:pPr>
            <w:r>
              <w:t>5、6、9、10号线票款收入</w:t>
            </w:r>
          </w:p>
        </w:tc>
        <w:tc>
          <w:tcPr>
            <w:tcW w:w="2551" w:type="dxa"/>
            <w:vAlign w:val="center"/>
          </w:tcPr>
          <w:p>
            <w:pPr>
              <w:pStyle w:val="12"/>
            </w:pPr>
            <w:r>
              <w:t>≥44290万元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5、6、9、10号线准点率</w:t>
            </w:r>
          </w:p>
        </w:tc>
        <w:tc>
          <w:tcPr>
            <w:tcW w:w="3430" w:type="dxa"/>
            <w:vAlign w:val="center"/>
          </w:tcPr>
          <w:p>
            <w:pPr>
              <w:pStyle w:val="12"/>
            </w:pPr>
            <w:r>
              <w:t>5、6、9、10号线准点率</w:t>
            </w:r>
          </w:p>
        </w:tc>
        <w:tc>
          <w:tcPr>
            <w:tcW w:w="2551" w:type="dxa"/>
            <w:vAlign w:val="center"/>
          </w:tcPr>
          <w:p>
            <w:pPr>
              <w:pStyle w:val="12"/>
            </w:pPr>
            <w:r>
              <w:t>≥99.9百分比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集团合并口径资产负债率</w:t>
            </w:r>
          </w:p>
        </w:tc>
        <w:tc>
          <w:tcPr>
            <w:tcW w:w="3430" w:type="dxa"/>
            <w:vAlign w:val="center"/>
          </w:tcPr>
          <w:p>
            <w:pPr>
              <w:pStyle w:val="12"/>
            </w:pPr>
            <w:r>
              <w:t>集团合并口径资产负债率</w:t>
            </w:r>
          </w:p>
        </w:tc>
        <w:tc>
          <w:tcPr>
            <w:tcW w:w="2551" w:type="dxa"/>
            <w:vAlign w:val="center"/>
          </w:tcPr>
          <w:p>
            <w:pPr>
              <w:pStyle w:val="12"/>
            </w:pPr>
            <w:r>
              <w:t>≤60百分比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线路乘客满意度，满分300分</w:t>
            </w:r>
          </w:p>
        </w:tc>
        <w:tc>
          <w:tcPr>
            <w:tcW w:w="3430" w:type="dxa"/>
            <w:vAlign w:val="center"/>
          </w:tcPr>
          <w:p>
            <w:pPr>
              <w:pStyle w:val="12"/>
            </w:pPr>
            <w:r>
              <w:t>线路乘客满意度，满分300分</w:t>
            </w:r>
          </w:p>
        </w:tc>
        <w:tc>
          <w:tcPr>
            <w:tcW w:w="2551" w:type="dxa"/>
            <w:vAlign w:val="center"/>
          </w:tcPr>
          <w:p>
            <w:pPr>
              <w:pStyle w:val="12"/>
            </w:pPr>
            <w:r>
              <w:t>≥285分数</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30"/>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.增强宏达公司资本实力(2025年)绩效目标表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增强宏达公司资本实力(2025年)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w:t>
            </w:r>
          </w:p>
        </w:tc>
        <w:tc>
          <w:tcPr>
            <w:tcW w:w="1587" w:type="dxa"/>
            <w:vAlign w:val="center"/>
          </w:tcPr>
          <w:p>
            <w:pPr>
              <w:pStyle w:val="13"/>
            </w:pPr>
            <w:r>
              <w:t>其中：财政    资金</w:t>
            </w:r>
          </w:p>
        </w:tc>
        <w:tc>
          <w:tcPr>
            <w:tcW w:w="1843" w:type="dxa"/>
            <w:vAlign w:val="center"/>
          </w:tcPr>
          <w:p>
            <w:pPr>
              <w:pStyle w:val="12"/>
            </w:pPr>
            <w:r>
              <w:t>2000.00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用于增强偿债能力、支持农垦改革任务与宏达控股高质量发展。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拨付宏达控股资金，支持公司高质量发展，构建公司新发展格局，补充公司资金流动性，缓解资金压力，提高公司偿债能力，提升公司抗风险能力和可持续发展的潜力，确保财务健康和经营稳定；落实市委市政府《关于进一步推进天津农垦改革发展的实施方案》的工作要求，加快推进农垦改革任务,改善农场居民的生活条件，解决居民社区生活环境、供电等民生问题，同时履行国企担当积极促进社会就业；进行管理水平提升活动，提高公司信息化管理水平，通过信息系统提升集团资金管控能力，提高公司经营效益，强化内部管理和运营效率，创造公司可持续发展的新局面,最终实现公司稳健运营。</w:t>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增资企业户数</w:t>
            </w:r>
          </w:p>
        </w:tc>
        <w:tc>
          <w:tcPr>
            <w:tcW w:w="3430" w:type="dxa"/>
            <w:vAlign w:val="center"/>
          </w:tcPr>
          <w:p>
            <w:pPr>
              <w:pStyle w:val="12"/>
            </w:pPr>
            <w:r>
              <w:t>增资企业户数</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企业账务处理合规</w:t>
            </w:r>
          </w:p>
        </w:tc>
        <w:tc>
          <w:tcPr>
            <w:tcW w:w="3430" w:type="dxa"/>
            <w:vAlign w:val="center"/>
          </w:tcPr>
          <w:p>
            <w:pPr>
              <w:pStyle w:val="12"/>
            </w:pPr>
            <w:r>
              <w:t>及时作出正确的账务处理</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资金拨付及时</w:t>
            </w:r>
          </w:p>
        </w:tc>
        <w:tc>
          <w:tcPr>
            <w:tcW w:w="3430" w:type="dxa"/>
            <w:vAlign w:val="center"/>
          </w:tcPr>
          <w:p>
            <w:pPr>
              <w:pStyle w:val="12"/>
            </w:pPr>
            <w:r>
              <w:t>资金拨付及时</w:t>
            </w:r>
          </w:p>
        </w:tc>
        <w:tc>
          <w:tcPr>
            <w:tcW w:w="2551" w:type="dxa"/>
            <w:vAlign w:val="center"/>
          </w:tcPr>
          <w:p>
            <w:pPr>
              <w:pStyle w:val="12"/>
            </w:pPr>
            <w:r>
              <w:t>在2025年12月31日之前下拨到位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偿还利息及时率</w:t>
            </w:r>
          </w:p>
        </w:tc>
        <w:tc>
          <w:tcPr>
            <w:tcW w:w="3430" w:type="dxa"/>
            <w:vAlign w:val="center"/>
          </w:tcPr>
          <w:p>
            <w:pPr>
              <w:pStyle w:val="12"/>
            </w:pPr>
            <w:r>
              <w:t>偿还农垦改革任务贷款利息及时率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企业章程修正及时</w:t>
            </w:r>
          </w:p>
        </w:tc>
        <w:tc>
          <w:tcPr>
            <w:tcW w:w="3430" w:type="dxa"/>
            <w:vAlign w:val="center"/>
          </w:tcPr>
          <w:p>
            <w:pPr>
              <w:pStyle w:val="12"/>
            </w:pPr>
            <w:r>
              <w:t>企业章程修正及时</w:t>
            </w:r>
          </w:p>
        </w:tc>
        <w:tc>
          <w:tcPr>
            <w:tcW w:w="2551" w:type="dxa"/>
            <w:vAlign w:val="center"/>
          </w:tcPr>
          <w:p>
            <w:pPr>
              <w:pStyle w:val="12"/>
            </w:pPr>
            <w:r>
              <w:t>收到股东增资决定45天内修正公司章程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偿还存量债务利息金额</w:t>
            </w:r>
          </w:p>
        </w:tc>
        <w:tc>
          <w:tcPr>
            <w:tcW w:w="3430" w:type="dxa"/>
            <w:vAlign w:val="center"/>
          </w:tcPr>
          <w:p>
            <w:pPr>
              <w:pStyle w:val="12"/>
            </w:pPr>
            <w:r>
              <w:t>偿还农垦改革任务存量债务利息金额</w:t>
            </w:r>
          </w:p>
        </w:tc>
        <w:tc>
          <w:tcPr>
            <w:tcW w:w="2551" w:type="dxa"/>
            <w:vAlign w:val="center"/>
          </w:tcPr>
          <w:p>
            <w:pPr>
              <w:pStyle w:val="12"/>
            </w:pPr>
            <w:r>
              <w:t>≤1200万元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信息化投入</w:t>
            </w:r>
          </w:p>
        </w:tc>
        <w:tc>
          <w:tcPr>
            <w:tcW w:w="3430" w:type="dxa"/>
            <w:vAlign w:val="center"/>
          </w:tcPr>
          <w:p>
            <w:pPr>
              <w:pStyle w:val="12"/>
            </w:pPr>
            <w:r>
              <w:t>信息化投入</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保障农场用电投入</w:t>
            </w:r>
          </w:p>
        </w:tc>
        <w:tc>
          <w:tcPr>
            <w:tcW w:w="3430" w:type="dxa"/>
            <w:vAlign w:val="center"/>
          </w:tcPr>
          <w:p>
            <w:pPr>
              <w:pStyle w:val="12"/>
            </w:pPr>
            <w:r>
              <w:t>保障农场用电投入</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保障农场社区服务投入</w:t>
            </w:r>
          </w:p>
        </w:tc>
        <w:tc>
          <w:tcPr>
            <w:tcW w:w="3430" w:type="dxa"/>
            <w:vAlign w:val="center"/>
          </w:tcPr>
          <w:p>
            <w:pPr>
              <w:pStyle w:val="12"/>
            </w:pPr>
            <w:r>
              <w:t>保障农场社区服务投入</w:t>
            </w:r>
          </w:p>
        </w:tc>
        <w:tc>
          <w:tcPr>
            <w:tcW w:w="2551" w:type="dxa"/>
            <w:vAlign w:val="center"/>
          </w:tcPr>
          <w:p>
            <w:pPr>
              <w:pStyle w:val="1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保障农场土地看管投入</w:t>
            </w:r>
          </w:p>
        </w:tc>
        <w:tc>
          <w:tcPr>
            <w:tcW w:w="3430" w:type="dxa"/>
            <w:vAlign w:val="center"/>
          </w:tcPr>
          <w:p>
            <w:pPr>
              <w:pStyle w:val="12"/>
            </w:pPr>
            <w:r>
              <w:t>保障农场土地看管投入</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税收贡献</w:t>
            </w:r>
          </w:p>
        </w:tc>
        <w:tc>
          <w:tcPr>
            <w:tcW w:w="3430" w:type="dxa"/>
            <w:vAlign w:val="center"/>
          </w:tcPr>
          <w:p>
            <w:pPr>
              <w:pStyle w:val="12"/>
            </w:pPr>
            <w:r>
              <w:t>税收贡献</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提升经营能力</w:t>
            </w:r>
          </w:p>
        </w:tc>
        <w:tc>
          <w:tcPr>
            <w:tcW w:w="3430" w:type="dxa"/>
            <w:vAlign w:val="center"/>
          </w:tcPr>
          <w:p>
            <w:pPr>
              <w:pStyle w:val="12"/>
            </w:pPr>
            <w:r>
              <w:t>实现农垦土地永久占地营业收入</w:t>
            </w:r>
          </w:p>
        </w:tc>
        <w:tc>
          <w:tcPr>
            <w:tcW w:w="2551" w:type="dxa"/>
            <w:vAlign w:val="center"/>
          </w:tcPr>
          <w:p>
            <w:pPr>
              <w:pStyle w:val="1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实现解决就业</w:t>
            </w:r>
          </w:p>
        </w:tc>
        <w:tc>
          <w:tcPr>
            <w:tcW w:w="3430" w:type="dxa"/>
            <w:vAlign w:val="center"/>
          </w:tcPr>
          <w:p>
            <w:pPr>
              <w:pStyle w:val="12"/>
            </w:pPr>
            <w:r>
              <w:t>通过招聘、服务外包、劳务派遣等方式解决社会就业人数</w:t>
            </w:r>
          </w:p>
        </w:tc>
        <w:tc>
          <w:tcPr>
            <w:tcW w:w="2551" w:type="dxa"/>
            <w:vAlign w:val="center"/>
          </w:tcPr>
          <w:p>
            <w:pPr>
              <w:pStyle w:val="1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保障农场居住环境水平</w:t>
            </w:r>
          </w:p>
        </w:tc>
        <w:tc>
          <w:tcPr>
            <w:tcW w:w="3430" w:type="dxa"/>
            <w:vAlign w:val="center"/>
          </w:tcPr>
          <w:p>
            <w:pPr>
              <w:pStyle w:val="12"/>
            </w:pPr>
            <w:r>
              <w:t>社区卫生服务次数</w:t>
            </w:r>
          </w:p>
        </w:tc>
        <w:tc>
          <w:tcPr>
            <w:tcW w:w="2551" w:type="dxa"/>
            <w:vAlign w:val="center"/>
          </w:tcPr>
          <w:p>
            <w:pPr>
              <w:pStyle w:val="12"/>
            </w:pPr>
            <w:r>
              <w:t>≥3602025年全年社区卫生服务次数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提高企业信息化管理</w:t>
            </w:r>
          </w:p>
        </w:tc>
        <w:tc>
          <w:tcPr>
            <w:tcW w:w="3430" w:type="dxa"/>
            <w:vAlign w:val="center"/>
          </w:tcPr>
          <w:p>
            <w:pPr>
              <w:pStyle w:val="12"/>
            </w:pPr>
            <w:r>
              <w:t>信息化管理系统建立取得阶段性成果</w:t>
            </w:r>
          </w:p>
        </w:tc>
        <w:tc>
          <w:tcPr>
            <w:tcW w:w="2551" w:type="dxa"/>
            <w:vAlign w:val="center"/>
          </w:tcPr>
          <w:p>
            <w:pPr>
              <w:pStyle w:val="12"/>
            </w:pPr>
            <w:r>
              <w:t>系统上线试运行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被增资企业员工满意度指标</w:t>
            </w:r>
          </w:p>
        </w:tc>
        <w:tc>
          <w:tcPr>
            <w:tcW w:w="3430" w:type="dxa"/>
            <w:vAlign w:val="center"/>
          </w:tcPr>
          <w:p>
            <w:pPr>
              <w:pStyle w:val="12"/>
            </w:pPr>
            <w:r>
              <w:t>被增资企业员工满意度指标</w:t>
            </w:r>
          </w:p>
        </w:tc>
        <w:tc>
          <w:tcPr>
            <w:tcW w:w="2551" w:type="dxa"/>
            <w:vAlign w:val="center"/>
          </w:tcPr>
          <w:p>
            <w:pPr>
              <w:pStyle w:val="1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31"/>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.增强旅游集团2025年资本实力（利顺德历史文化景区提升改造项目）绩效目标表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增强旅游集团2025年资本实力（利顺德历史文化景区提升改造项目）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w:t>
            </w:r>
          </w:p>
        </w:tc>
        <w:tc>
          <w:tcPr>
            <w:tcW w:w="1587" w:type="dxa"/>
            <w:vAlign w:val="center"/>
          </w:tcPr>
          <w:p>
            <w:pPr>
              <w:pStyle w:val="13"/>
            </w:pPr>
            <w:r>
              <w:t>其中：财政    资金</w:t>
            </w:r>
          </w:p>
        </w:tc>
        <w:tc>
          <w:tcPr>
            <w:tcW w:w="1843" w:type="dxa"/>
            <w:vAlign w:val="center"/>
          </w:tcPr>
          <w:p>
            <w:pPr>
              <w:pStyle w:val="12"/>
            </w:pPr>
            <w:r>
              <w:t>4000.00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用于增强旅游集团资本实力。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深入贯彻习近平总书记视察天津重要讲话精神，认真落实市委市政府“三量”工作部署和市主要领导视察利顺德大饭店时提出的“充分彰显利顺德历史底蕴，深化与文旅行业头部企业合作，讲好故事、擦亮品牌，强化百年饭店品牌宣传”工作要求，推进利顺德历史文化景区提升改造项目，主要工作任务：1、实施功能核心区建设，打造历史与现代融合的内广场空间，呈现景区空间景观，为游客提供一个城市文化新地标、城市艺术新舞台、城市文脉新组团。2、贯彻落实与国际化文旅行业企业合作的工作要求，聘请英国法雷尔建筑设计事务所按照“尊重历史保护为先，功能空间创新”的设计理念完成利顺德景区建筑方案。3、改造设备楼、迎宾大厦、原瑞隆洋行旧址，积极引入品质零售、文旅体验、艺文活动、沉浸演艺等新业态，盘活存量，聚客引流，提升利顺德景区品牌价值。4、丰富提升利顺德大饭店现有服务功能，完成设备更新，提升原餐厅、宴会厅利用率，推动博物馆文物保护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总建筑面积</w:t>
            </w:r>
          </w:p>
        </w:tc>
        <w:tc>
          <w:tcPr>
            <w:tcW w:w="3430" w:type="dxa"/>
            <w:vAlign w:val="center"/>
          </w:tcPr>
          <w:p>
            <w:pPr>
              <w:pStyle w:val="12"/>
            </w:pPr>
            <w:r>
              <w:t>总建筑面积</w:t>
            </w:r>
          </w:p>
        </w:tc>
        <w:tc>
          <w:tcPr>
            <w:tcW w:w="2551" w:type="dxa"/>
            <w:vAlign w:val="center"/>
          </w:tcPr>
          <w:p>
            <w:pPr>
              <w:pStyle w:val="12"/>
            </w:pPr>
            <w:r>
              <w:t>≥15412平方米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改造面积</w:t>
            </w:r>
          </w:p>
        </w:tc>
        <w:tc>
          <w:tcPr>
            <w:tcW w:w="3430" w:type="dxa"/>
            <w:vAlign w:val="center"/>
          </w:tcPr>
          <w:p>
            <w:pPr>
              <w:pStyle w:val="12"/>
            </w:pPr>
            <w:r>
              <w:t>室内改造面积</w:t>
            </w:r>
          </w:p>
        </w:tc>
        <w:tc>
          <w:tcPr>
            <w:tcW w:w="2551" w:type="dxa"/>
            <w:vAlign w:val="center"/>
          </w:tcPr>
          <w:p>
            <w:pPr>
              <w:pStyle w:val="12"/>
            </w:pPr>
            <w:r>
              <w:t>≥4525平方米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改造面积</w:t>
            </w:r>
          </w:p>
        </w:tc>
        <w:tc>
          <w:tcPr>
            <w:tcW w:w="3430" w:type="dxa"/>
            <w:vAlign w:val="center"/>
          </w:tcPr>
          <w:p>
            <w:pPr>
              <w:pStyle w:val="12"/>
            </w:pPr>
            <w:r>
              <w:t>外檐改造面积</w:t>
            </w:r>
          </w:p>
        </w:tc>
        <w:tc>
          <w:tcPr>
            <w:tcW w:w="2551" w:type="dxa"/>
            <w:vAlign w:val="center"/>
          </w:tcPr>
          <w:p>
            <w:pPr>
              <w:pStyle w:val="12"/>
            </w:pPr>
            <w:r>
              <w:t>≥1835平方米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改造面积</w:t>
            </w:r>
          </w:p>
        </w:tc>
        <w:tc>
          <w:tcPr>
            <w:tcW w:w="3430" w:type="dxa"/>
            <w:vAlign w:val="center"/>
          </w:tcPr>
          <w:p>
            <w:pPr>
              <w:pStyle w:val="12"/>
            </w:pPr>
            <w:r>
              <w:t>室外景观改造面积</w:t>
            </w:r>
          </w:p>
        </w:tc>
        <w:tc>
          <w:tcPr>
            <w:tcW w:w="2551" w:type="dxa"/>
            <w:vAlign w:val="center"/>
          </w:tcPr>
          <w:p>
            <w:pPr>
              <w:pStyle w:val="12"/>
            </w:pPr>
            <w:r>
              <w:t>≥3092平方米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设备更新购置数量</w:t>
            </w:r>
          </w:p>
        </w:tc>
        <w:tc>
          <w:tcPr>
            <w:tcW w:w="3430" w:type="dxa"/>
            <w:vAlign w:val="center"/>
          </w:tcPr>
          <w:p>
            <w:pPr>
              <w:pStyle w:val="12"/>
            </w:pPr>
            <w:r>
              <w:t>设备更新购置数量</w:t>
            </w:r>
          </w:p>
        </w:tc>
        <w:tc>
          <w:tcPr>
            <w:tcW w:w="2551" w:type="dxa"/>
            <w:vAlign w:val="center"/>
          </w:tcPr>
          <w:p>
            <w:pPr>
              <w:pStyle w:val="12"/>
            </w:pPr>
            <w:r>
              <w:t>140套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装修合格率</w:t>
            </w:r>
          </w:p>
        </w:tc>
        <w:tc>
          <w:tcPr>
            <w:tcW w:w="3430" w:type="dxa"/>
            <w:vAlign w:val="center"/>
          </w:tcPr>
          <w:p>
            <w:pPr>
              <w:pStyle w:val="12"/>
            </w:pPr>
            <w:r>
              <w:t>利顺德大厦及设备楼室内公共部位改造装修合格率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施工质量合格率</w:t>
            </w:r>
          </w:p>
        </w:tc>
        <w:tc>
          <w:tcPr>
            <w:tcW w:w="3430" w:type="dxa"/>
            <w:vAlign w:val="center"/>
          </w:tcPr>
          <w:p>
            <w:pPr>
              <w:pStyle w:val="12"/>
            </w:pPr>
            <w:r>
              <w:t>利顺德大厦及设备楼外檐改造施工质量合格率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施工质量合格率</w:t>
            </w:r>
          </w:p>
        </w:tc>
        <w:tc>
          <w:tcPr>
            <w:tcW w:w="3430" w:type="dxa"/>
            <w:vAlign w:val="center"/>
          </w:tcPr>
          <w:p>
            <w:pPr>
              <w:pStyle w:val="12"/>
            </w:pPr>
            <w:r>
              <w:t>利顺德大厦地块室外景观施工质量合格率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3430" w:type="dxa"/>
            <w:vAlign w:val="center"/>
          </w:tcPr>
          <w:p>
            <w:pPr>
              <w:pStyle w:val="12"/>
            </w:pPr>
            <w:r>
              <w:t>利顺德大厦能源设备验收合格率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成果报告验收通过率</w:t>
            </w:r>
          </w:p>
        </w:tc>
        <w:tc>
          <w:tcPr>
            <w:tcW w:w="3430" w:type="dxa"/>
            <w:vAlign w:val="center"/>
          </w:tcPr>
          <w:p>
            <w:pPr>
              <w:pStyle w:val="12"/>
            </w:pPr>
            <w:r>
              <w:t>建设方案文物影响评价成果报告验收通过率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设备更新开工时间</w:t>
            </w:r>
          </w:p>
        </w:tc>
        <w:tc>
          <w:tcPr>
            <w:tcW w:w="2551" w:type="dxa"/>
            <w:vAlign w:val="center"/>
          </w:tcPr>
          <w:p>
            <w:pPr>
              <w:pStyle w:val="12"/>
            </w:pPr>
            <w:r>
              <w:t>2025年4月前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室内改造装修工程开工时间</w:t>
            </w:r>
          </w:p>
        </w:tc>
        <w:tc>
          <w:tcPr>
            <w:tcW w:w="2551" w:type="dxa"/>
            <w:vAlign w:val="center"/>
          </w:tcPr>
          <w:p>
            <w:pPr>
              <w:pStyle w:val="12"/>
            </w:pPr>
            <w:r>
              <w:t>2025年5月前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外檐工程开工时间</w:t>
            </w:r>
          </w:p>
        </w:tc>
        <w:tc>
          <w:tcPr>
            <w:tcW w:w="2551" w:type="dxa"/>
            <w:vAlign w:val="center"/>
          </w:tcPr>
          <w:p>
            <w:pPr>
              <w:pStyle w:val="12"/>
            </w:pPr>
            <w:r>
              <w:t>2025年5月前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室外景观工程开工时间</w:t>
            </w:r>
          </w:p>
        </w:tc>
        <w:tc>
          <w:tcPr>
            <w:tcW w:w="2551" w:type="dxa"/>
            <w:vAlign w:val="center"/>
          </w:tcPr>
          <w:p>
            <w:pPr>
              <w:pStyle w:val="12"/>
            </w:pPr>
            <w:r>
              <w:t>2025年5月前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建设成本控制</w:t>
            </w:r>
          </w:p>
        </w:tc>
        <w:tc>
          <w:tcPr>
            <w:tcW w:w="3430" w:type="dxa"/>
            <w:vAlign w:val="center"/>
          </w:tcPr>
          <w:p>
            <w:pPr>
              <w:pStyle w:val="12"/>
            </w:pPr>
            <w:r>
              <w:t>动态成本偏差率</w:t>
            </w:r>
          </w:p>
        </w:tc>
        <w:tc>
          <w:tcPr>
            <w:tcW w:w="2551" w:type="dxa"/>
            <w:vAlign w:val="center"/>
          </w:tcPr>
          <w:p>
            <w:pPr>
              <w:pStyle w:val="12"/>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w:t>
            </w:r>
          </w:p>
        </w:tc>
        <w:tc>
          <w:tcPr>
            <w:tcW w:w="3430" w:type="dxa"/>
            <w:vAlign w:val="center"/>
          </w:tcPr>
          <w:p>
            <w:pPr>
              <w:pStyle w:val="12"/>
            </w:pPr>
            <w:r>
              <w:t>景区接待能力</w:t>
            </w:r>
          </w:p>
        </w:tc>
        <w:tc>
          <w:tcPr>
            <w:tcW w:w="2551" w:type="dxa"/>
            <w:vAlign w:val="center"/>
          </w:tcPr>
          <w:p>
            <w:pPr>
              <w:pStyle w:val="12"/>
            </w:pPr>
            <w:r>
              <w:t>接待能力增长5%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景观提升</w:t>
            </w:r>
          </w:p>
        </w:tc>
        <w:tc>
          <w:tcPr>
            <w:tcW w:w="3430" w:type="dxa"/>
            <w:vAlign w:val="center"/>
          </w:tcPr>
          <w:p>
            <w:pPr>
              <w:pStyle w:val="12"/>
            </w:pPr>
            <w:r>
              <w:t>载体景观面貌提升</w:t>
            </w:r>
          </w:p>
        </w:tc>
        <w:tc>
          <w:tcPr>
            <w:tcW w:w="2551" w:type="dxa"/>
            <w:vAlign w:val="center"/>
          </w:tcPr>
          <w:p>
            <w:pPr>
              <w:pStyle w:val="12"/>
            </w:pPr>
            <w:r>
              <w:t>景观（含地铺、绿植）提升1000平米以上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项目建成后的节能减排效益</w:t>
            </w:r>
          </w:p>
        </w:tc>
        <w:tc>
          <w:tcPr>
            <w:tcW w:w="3430" w:type="dxa"/>
            <w:vAlign w:val="center"/>
          </w:tcPr>
          <w:p>
            <w:pPr>
              <w:pStyle w:val="12"/>
            </w:pPr>
            <w:r>
              <w:t>项目建成后的节能减排效益</w:t>
            </w:r>
          </w:p>
        </w:tc>
        <w:tc>
          <w:tcPr>
            <w:tcW w:w="2551" w:type="dxa"/>
            <w:vAlign w:val="center"/>
          </w:tcPr>
          <w:p>
            <w:pPr>
              <w:pStyle w:val="12"/>
            </w:pPr>
            <w:r>
              <w:t>能耗降低10%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设备使用年限</w:t>
            </w:r>
          </w:p>
        </w:tc>
        <w:tc>
          <w:tcPr>
            <w:tcW w:w="3430" w:type="dxa"/>
            <w:vAlign w:val="center"/>
          </w:tcPr>
          <w:p>
            <w:pPr>
              <w:pStyle w:val="12"/>
            </w:pPr>
            <w:r>
              <w:t>设备使用年限</w:t>
            </w:r>
          </w:p>
        </w:tc>
        <w:tc>
          <w:tcPr>
            <w:tcW w:w="2551" w:type="dxa"/>
            <w:vAlign w:val="center"/>
          </w:tcPr>
          <w:p>
            <w:pPr>
              <w:pStyle w:val="12"/>
            </w:pPr>
            <w:r>
              <w:t>主要设备使用年限延长5年以上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社会服务对象满意度</w:t>
            </w:r>
          </w:p>
        </w:tc>
        <w:tc>
          <w:tcPr>
            <w:tcW w:w="3430" w:type="dxa"/>
            <w:vAlign w:val="center"/>
          </w:tcPr>
          <w:p>
            <w:pPr>
              <w:pStyle w:val="12"/>
            </w:pPr>
            <w:r>
              <w:t>社会服务对象满意度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32"/>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.增强食品集团2025年资本实力（天食利民调料番茄酱原料基地项目）绩效目标表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增强食品集团2025年资本实力（天食利民调料番茄酱原料基地项目）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w:t>
            </w:r>
          </w:p>
        </w:tc>
        <w:tc>
          <w:tcPr>
            <w:tcW w:w="1587" w:type="dxa"/>
            <w:vAlign w:val="center"/>
          </w:tcPr>
          <w:p>
            <w:pPr>
              <w:pStyle w:val="13"/>
            </w:pPr>
            <w:r>
              <w:t>其中：财政    资金</w:t>
            </w:r>
          </w:p>
        </w:tc>
        <w:tc>
          <w:tcPr>
            <w:tcW w:w="1843" w:type="dxa"/>
            <w:vAlign w:val="center"/>
          </w:tcPr>
          <w:p>
            <w:pPr>
              <w:pStyle w:val="12"/>
            </w:pPr>
            <w:r>
              <w:t>2000.00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利民公司出资持有一家新疆当地番茄加工厂部分股权，充分利用新疆地区优质番茄产地优势，拓展番茄制品生产加工规模，帮助番茄酱产品更好地对接市场，将新疆的资源优势转化为经济优势，提升番茄酱产品的竞争力，同时提升利民公司品牌知名度和美誉度，为番茄酱产业的长期稳定发展奠定坚实基础，形成更加完善的产业链条，并为当地提供更多就业机会，有助于拓宽农民增收渠道，为新疆乡村振兴战略的实施提供有力支撑，助力当地乡村振兴。</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市国资委按照敏尔书记和兴瑞书记提出的“天津国企要在食品加工、矿产资源开发等方面与新疆加强合作”的重要要求，认真落实天津市党政代表团赴新疆学习考察重要精神，于2024年7月19至24日，组织天津国资国企产业合作调研组赴新疆开展专题对接交流，并按照张玲副市长提出的“产业合作要互利共赢，力争经双方充分论证形成一些标志性成果”的指示要求，加快推动国企援疆重点项目谋划。在此背景下，利民公司出资持有一家新疆当地番茄加工厂部分股权，充分利用新疆地区优质番茄产地优势，拓展番茄制品生产加工规模，帮助番茄酱产品更好地对接市场，将新疆的资源优势转化为经济优势，提升番茄酱产品的竞争力，同时提升利民公司品牌知名度和美誉度，为番茄酱产业的长期稳定发展奠定坚实基础，形成更加完善的产业链条，并为当地提供更多就业机会，有助于拓宽农民增收渠道，为新疆乡村振兴战略的实施提供有力支撑，助力当地乡村振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增资或收购企业数量</w:t>
            </w:r>
          </w:p>
        </w:tc>
        <w:tc>
          <w:tcPr>
            <w:tcW w:w="3430" w:type="dxa"/>
            <w:vAlign w:val="center"/>
          </w:tcPr>
          <w:p>
            <w:pPr>
              <w:pStyle w:val="12"/>
            </w:pPr>
            <w:r>
              <w:t>完成增资或收购企业数量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投资流程</w:t>
            </w:r>
          </w:p>
        </w:tc>
        <w:tc>
          <w:tcPr>
            <w:tcW w:w="3430" w:type="dxa"/>
            <w:vAlign w:val="center"/>
          </w:tcPr>
          <w:p>
            <w:pPr>
              <w:pStyle w:val="12"/>
            </w:pPr>
            <w:r>
              <w:t>投资流程合规率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资金拨付流程</w:t>
            </w:r>
          </w:p>
        </w:tc>
        <w:tc>
          <w:tcPr>
            <w:tcW w:w="3430" w:type="dxa"/>
            <w:vAlign w:val="center"/>
          </w:tcPr>
          <w:p>
            <w:pPr>
              <w:pStyle w:val="12"/>
            </w:pPr>
            <w:r>
              <w:t>资金拨付流程合规率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股权收购审计报告</w:t>
            </w:r>
          </w:p>
        </w:tc>
        <w:tc>
          <w:tcPr>
            <w:tcW w:w="3430" w:type="dxa"/>
            <w:vAlign w:val="center"/>
          </w:tcPr>
          <w:p>
            <w:pPr>
              <w:pStyle w:val="12"/>
            </w:pPr>
            <w:r>
              <w:t>股权收购审计报告完成时限</w:t>
            </w:r>
          </w:p>
        </w:tc>
        <w:tc>
          <w:tcPr>
            <w:tcW w:w="2551" w:type="dxa"/>
            <w:vAlign w:val="center"/>
          </w:tcPr>
          <w:p>
            <w:pPr>
              <w:pStyle w:val="12"/>
            </w:pPr>
            <w:r>
              <w:t>2025年9月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法律尽调</w:t>
            </w:r>
          </w:p>
        </w:tc>
        <w:tc>
          <w:tcPr>
            <w:tcW w:w="3430" w:type="dxa"/>
            <w:vAlign w:val="center"/>
          </w:tcPr>
          <w:p>
            <w:pPr>
              <w:pStyle w:val="12"/>
            </w:pPr>
            <w:r>
              <w:t>法律尽调完成时限</w:t>
            </w:r>
          </w:p>
        </w:tc>
        <w:tc>
          <w:tcPr>
            <w:tcW w:w="2551" w:type="dxa"/>
            <w:vAlign w:val="center"/>
          </w:tcPr>
          <w:p>
            <w:pPr>
              <w:pStyle w:val="12"/>
            </w:pPr>
            <w:r>
              <w:t>2025年9月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评估报告</w:t>
            </w:r>
          </w:p>
        </w:tc>
        <w:tc>
          <w:tcPr>
            <w:tcW w:w="3430" w:type="dxa"/>
            <w:vAlign w:val="center"/>
          </w:tcPr>
          <w:p>
            <w:pPr>
              <w:pStyle w:val="12"/>
            </w:pPr>
            <w:r>
              <w:t>评估报告完成时限</w:t>
            </w:r>
          </w:p>
        </w:tc>
        <w:tc>
          <w:tcPr>
            <w:tcW w:w="2551" w:type="dxa"/>
            <w:vAlign w:val="center"/>
          </w:tcPr>
          <w:p>
            <w:pPr>
              <w:pStyle w:val="12"/>
            </w:pPr>
            <w:r>
              <w:t>2025年10月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收购方案</w:t>
            </w:r>
          </w:p>
        </w:tc>
        <w:tc>
          <w:tcPr>
            <w:tcW w:w="3430" w:type="dxa"/>
            <w:vAlign w:val="center"/>
          </w:tcPr>
          <w:p>
            <w:pPr>
              <w:pStyle w:val="12"/>
            </w:pPr>
            <w:r>
              <w:t>收购方案完成时限</w:t>
            </w:r>
          </w:p>
        </w:tc>
        <w:tc>
          <w:tcPr>
            <w:tcW w:w="2551" w:type="dxa"/>
            <w:vAlign w:val="center"/>
          </w:tcPr>
          <w:p>
            <w:pPr>
              <w:pStyle w:val="12"/>
            </w:pPr>
            <w:r>
              <w:t>2025年10月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投资协议签署</w:t>
            </w:r>
          </w:p>
        </w:tc>
        <w:tc>
          <w:tcPr>
            <w:tcW w:w="3430" w:type="dxa"/>
            <w:vAlign w:val="center"/>
          </w:tcPr>
          <w:p>
            <w:pPr>
              <w:pStyle w:val="12"/>
            </w:pPr>
            <w:r>
              <w:t>投资协议签署完成时限</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w:t>
            </w:r>
          </w:p>
        </w:tc>
        <w:tc>
          <w:tcPr>
            <w:tcW w:w="3430" w:type="dxa"/>
            <w:vAlign w:val="center"/>
          </w:tcPr>
          <w:p>
            <w:pPr>
              <w:pStyle w:val="12"/>
            </w:pPr>
            <w:r>
              <w:t>资金拨付及时率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投资成本</w:t>
            </w:r>
          </w:p>
        </w:tc>
        <w:tc>
          <w:tcPr>
            <w:tcW w:w="3430" w:type="dxa"/>
            <w:vAlign w:val="center"/>
          </w:tcPr>
          <w:p>
            <w:pPr>
              <w:pStyle w:val="12"/>
            </w:pPr>
            <w:r>
              <w:t>投资成本金额</w:t>
            </w:r>
          </w:p>
        </w:tc>
        <w:tc>
          <w:tcPr>
            <w:tcW w:w="2551" w:type="dxa"/>
            <w:vAlign w:val="center"/>
          </w:tcPr>
          <w:p>
            <w:pPr>
              <w:pStyle w:val="1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援疆助力，发挥示范引领</w:t>
            </w:r>
          </w:p>
        </w:tc>
        <w:tc>
          <w:tcPr>
            <w:tcW w:w="3430" w:type="dxa"/>
            <w:vAlign w:val="center"/>
          </w:tcPr>
          <w:p>
            <w:pPr>
              <w:pStyle w:val="12"/>
            </w:pPr>
            <w:r>
              <w:t>援疆助力当地果蔬产业发展，发挥示范引领作用</w:t>
            </w:r>
          </w:p>
        </w:tc>
        <w:tc>
          <w:tcPr>
            <w:tcW w:w="2551" w:type="dxa"/>
            <w:vAlign w:val="center"/>
          </w:tcPr>
          <w:p>
            <w:pPr>
              <w:pStyle w:val="12"/>
            </w:pPr>
            <w:r>
              <w:t>充分发挥示范引领作用，用好当地农业资源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助力新疆番茄产业，带动当地就业</w:t>
            </w:r>
          </w:p>
        </w:tc>
        <w:tc>
          <w:tcPr>
            <w:tcW w:w="3430" w:type="dxa"/>
            <w:vAlign w:val="center"/>
          </w:tcPr>
          <w:p>
            <w:pPr>
              <w:pStyle w:val="12"/>
            </w:pPr>
            <w:r>
              <w:t>助力新疆番茄酱产业发展，带动当地就业</w:t>
            </w:r>
          </w:p>
        </w:tc>
        <w:tc>
          <w:tcPr>
            <w:tcW w:w="2551" w:type="dxa"/>
            <w:vAlign w:val="center"/>
          </w:tcPr>
          <w:p>
            <w:pPr>
              <w:pStyle w:val="12"/>
            </w:pPr>
            <w:r>
              <w:t>为当地带动就业机会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助力当地产业链条融合发展</w:t>
            </w:r>
          </w:p>
        </w:tc>
        <w:tc>
          <w:tcPr>
            <w:tcW w:w="3430" w:type="dxa"/>
            <w:vAlign w:val="center"/>
          </w:tcPr>
          <w:p>
            <w:pPr>
              <w:pStyle w:val="12"/>
            </w:pPr>
            <w:r>
              <w:t>推动农村一二三产业的融合发展，形成更加完善的产业链条，为乡村振兴战略的实施提供有力支撑</w:t>
            </w:r>
          </w:p>
        </w:tc>
        <w:tc>
          <w:tcPr>
            <w:tcW w:w="2551" w:type="dxa"/>
            <w:vAlign w:val="center"/>
          </w:tcPr>
          <w:p>
            <w:pPr>
              <w:pStyle w:val="12"/>
            </w:pPr>
            <w:r>
              <w:t>助力当地产业链条融合发展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助力新疆当地番茄酱产业稳定发展</w:t>
            </w:r>
          </w:p>
        </w:tc>
        <w:tc>
          <w:tcPr>
            <w:tcW w:w="3430" w:type="dxa"/>
            <w:vAlign w:val="center"/>
          </w:tcPr>
          <w:p>
            <w:pPr>
              <w:pStyle w:val="12"/>
            </w:pPr>
            <w:r>
              <w:t>为番茄酱产业的长期稳定发展奠定坚实基础</w:t>
            </w:r>
          </w:p>
        </w:tc>
        <w:tc>
          <w:tcPr>
            <w:tcW w:w="2551" w:type="dxa"/>
            <w:vAlign w:val="center"/>
          </w:tcPr>
          <w:p>
            <w:pPr>
              <w:pStyle w:val="12"/>
            </w:pPr>
            <w:r>
              <w:t>助力当地番茄酱产业的长期稳定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持续巩固拓展脱贫攻坚</w:t>
            </w:r>
          </w:p>
        </w:tc>
        <w:tc>
          <w:tcPr>
            <w:tcW w:w="3430" w:type="dxa"/>
            <w:vAlign w:val="center"/>
          </w:tcPr>
          <w:p>
            <w:pPr>
              <w:pStyle w:val="12"/>
            </w:pPr>
            <w:r>
              <w:t>持续巩固拓展脱贫攻坚成果</w:t>
            </w:r>
          </w:p>
        </w:tc>
        <w:tc>
          <w:tcPr>
            <w:tcW w:w="2551" w:type="dxa"/>
            <w:vAlign w:val="center"/>
          </w:tcPr>
          <w:p>
            <w:pPr>
              <w:pStyle w:val="12"/>
            </w:pPr>
            <w:r>
              <w:t>助力乡村振兴战略在当地深入实施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实施单位满意度</w:t>
            </w:r>
          </w:p>
        </w:tc>
        <w:tc>
          <w:tcPr>
            <w:tcW w:w="3430" w:type="dxa"/>
            <w:vAlign w:val="center"/>
          </w:tcPr>
          <w:p>
            <w:pPr>
              <w:pStyle w:val="12"/>
            </w:pPr>
            <w:r>
              <w:t>实施单位满意度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33"/>
      <w:r>
        <w:rPr>
          <w:rFonts w:hint="eastAsia" w:ascii="方正仿宋_GBK" w:hAnsi="方正仿宋_GBK" w:eastAsia="方正仿宋_GBK" w:cs="方正仿宋_GBK"/>
          <w:sz w:val="28"/>
          <w:lang w:val="en-US" w:eastAsia="zh-CN"/>
        </w:rPr>
        <w:t>20</w:t>
      </w:r>
      <w:r>
        <w:rPr>
          <w:rFonts w:ascii="方正仿宋_GBK" w:hAnsi="方正仿宋_GBK" w:eastAsia="方正仿宋_GBK" w:cs="方正仿宋_GBK"/>
          <w:sz w:val="28"/>
        </w:rPr>
        <w:t>.增强泰达控股2025年资本实力（基于增量配电网的吉瓦时以上长时储能电站项目）绩效目标表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增强泰达控股2025年资本实力（基于增量配电网的吉瓦时以上长时储能电站项目）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w:t>
            </w:r>
          </w:p>
        </w:tc>
        <w:tc>
          <w:tcPr>
            <w:tcW w:w="1587" w:type="dxa"/>
            <w:vAlign w:val="center"/>
          </w:tcPr>
          <w:p>
            <w:pPr>
              <w:pStyle w:val="13"/>
            </w:pPr>
            <w:r>
              <w:t>其中：财政    资金</w:t>
            </w:r>
          </w:p>
        </w:tc>
        <w:tc>
          <w:tcPr>
            <w:tcW w:w="1843" w:type="dxa"/>
            <w:vAlign w:val="center"/>
          </w:tcPr>
          <w:p>
            <w:pPr>
              <w:pStyle w:val="12"/>
            </w:pPr>
            <w:r>
              <w:t>2000.00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增强泰达控股资本实力，用于支持长时储能电站建设，主要用户项目建设工程费用支出。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1.本项目分为储能系统、光伏系统、充电站三部分。</w:t>
            </w:r>
          </w:p>
          <w:p>
            <w:pPr>
              <w:pStyle w:val="12"/>
            </w:pPr>
            <w:r>
              <w:t>储能系统：储能功率为156MW，装机容量为1.115GWH，由23个6MW储能单元和6个3MW储能单元，19个并网预制仓、1座电池栈房组成。储能系统通过6回35KV线路并网与泰达电力公司现状2座110KV变电站35KV母线，通过16回10KV线路并网于2座110KV变电站和4座35KV变电站</w:t>
            </w:r>
          </w:p>
          <w:p>
            <w:pPr>
              <w:pStyle w:val="12"/>
            </w:pPr>
          </w:p>
          <w:p>
            <w:pPr>
              <w:pStyle w:val="12"/>
            </w:pPr>
            <w:r>
              <w:t>的10KV母线。</w:t>
            </w:r>
          </w:p>
          <w:p>
            <w:pPr>
              <w:pStyle w:val="12"/>
            </w:pPr>
            <w:r>
              <w:t>光伏系统：在储能电站栈房屋顶安装550Wp单晶双玻组件3780块，总容量为2079kWp,采用BIPV安装方式，通过21台100KW组串逆变器逆变为380V交流电，接入于0.4KV母线，实现并网。</w:t>
            </w:r>
          </w:p>
          <w:p>
            <w:pPr>
              <w:pStyle w:val="12"/>
            </w:pPr>
            <w:r>
              <w:t>充电站设计：储能电站南侧停车位计划计划建设面向社会新能源汽车的公共超级充电站，安装1台600KW和2台480KW液冷超充设备，供电动汽车充电使用，共计27个充电车位。</w:t>
            </w:r>
          </w:p>
          <w:p>
            <w:pPr>
              <w:pStyle w:val="12"/>
            </w:pPr>
            <w:r>
              <w:t>2025年将完成建筑结构建设及外线施工工作，完成电池模块、电池仓、液冷系统、直流侧电力等安装工作，最终达成储能系统电站总功率为156MW、总功率1.115GWh建设和调试工作，并进行储能系统并网测试运行，光伏系统并网发电、充电桩顺利送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建设新建建筑物建筑面积</w:t>
            </w:r>
          </w:p>
        </w:tc>
        <w:tc>
          <w:tcPr>
            <w:tcW w:w="3430" w:type="dxa"/>
            <w:vAlign w:val="center"/>
          </w:tcPr>
          <w:p>
            <w:pPr>
              <w:pStyle w:val="12"/>
            </w:pPr>
            <w:r>
              <w:t>通过评价新建建筑物面积进行考核</w:t>
            </w:r>
          </w:p>
        </w:tc>
        <w:tc>
          <w:tcPr>
            <w:tcW w:w="2551" w:type="dxa"/>
            <w:vAlign w:val="center"/>
          </w:tcPr>
          <w:p>
            <w:pPr>
              <w:pStyle w:val="12"/>
            </w:pPr>
            <w:r>
              <w:t>≥20656平方米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储能系统规模</w:t>
            </w:r>
          </w:p>
        </w:tc>
        <w:tc>
          <w:tcPr>
            <w:tcW w:w="3430" w:type="dxa"/>
            <w:vAlign w:val="center"/>
          </w:tcPr>
          <w:p>
            <w:pPr>
              <w:pStyle w:val="12"/>
            </w:pPr>
            <w:r>
              <w:t>针对储能建设规模设定指标</w:t>
            </w:r>
          </w:p>
        </w:tc>
        <w:tc>
          <w:tcPr>
            <w:tcW w:w="2551" w:type="dxa"/>
            <w:vAlign w:val="center"/>
          </w:tcPr>
          <w:p>
            <w:pPr>
              <w:pStyle w:val="12"/>
            </w:pPr>
            <w:r>
              <w:t>≥1.12吉瓦时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光伏系统规模</w:t>
            </w:r>
          </w:p>
        </w:tc>
        <w:tc>
          <w:tcPr>
            <w:tcW w:w="3430" w:type="dxa"/>
            <w:vAlign w:val="center"/>
          </w:tcPr>
          <w:p>
            <w:pPr>
              <w:pStyle w:val="12"/>
            </w:pPr>
            <w:r>
              <w:t>针对光伏系统规模设定指标</w:t>
            </w:r>
          </w:p>
        </w:tc>
        <w:tc>
          <w:tcPr>
            <w:tcW w:w="2551" w:type="dxa"/>
            <w:vAlign w:val="center"/>
          </w:tcPr>
          <w:p>
            <w:pPr>
              <w:pStyle w:val="12"/>
            </w:pPr>
            <w:r>
              <w:t>≥2079千瓦峰（kWp）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充电桩数量</w:t>
            </w:r>
          </w:p>
        </w:tc>
        <w:tc>
          <w:tcPr>
            <w:tcW w:w="3430" w:type="dxa"/>
            <w:vAlign w:val="center"/>
          </w:tcPr>
          <w:p>
            <w:pPr>
              <w:pStyle w:val="12"/>
            </w:pPr>
            <w:r>
              <w:t>针对充电桩数量设定指标</w:t>
            </w:r>
          </w:p>
        </w:tc>
        <w:tc>
          <w:tcPr>
            <w:tcW w:w="2551" w:type="dxa"/>
            <w:vAlign w:val="center"/>
          </w:tcPr>
          <w:p>
            <w:pPr>
              <w:pStyle w:val="12"/>
            </w:pPr>
            <w:r>
              <w:t>27台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外线工程量</w:t>
            </w:r>
          </w:p>
        </w:tc>
        <w:tc>
          <w:tcPr>
            <w:tcW w:w="3430" w:type="dxa"/>
            <w:vAlign w:val="center"/>
          </w:tcPr>
          <w:p>
            <w:pPr>
              <w:pStyle w:val="12"/>
            </w:pPr>
            <w:r>
              <w:t>针对外线工程量设定指标</w:t>
            </w:r>
          </w:p>
        </w:tc>
        <w:tc>
          <w:tcPr>
            <w:tcW w:w="2551" w:type="dxa"/>
            <w:vAlign w:val="center"/>
          </w:tcPr>
          <w:p>
            <w:pPr>
              <w:pStyle w:val="12"/>
            </w:pPr>
            <w:r>
              <w:t>≥11千米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系统具备储存1.115GWh电能实现率</w:t>
            </w:r>
          </w:p>
        </w:tc>
        <w:tc>
          <w:tcPr>
            <w:tcW w:w="3430" w:type="dxa"/>
            <w:vAlign w:val="center"/>
          </w:tcPr>
          <w:p>
            <w:pPr>
              <w:pStyle w:val="12"/>
            </w:pPr>
            <w:r>
              <w:t>储能能力是评价项目重要指标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电池模块、电池仓安装</w:t>
            </w:r>
          </w:p>
        </w:tc>
        <w:tc>
          <w:tcPr>
            <w:tcW w:w="3430" w:type="dxa"/>
            <w:vAlign w:val="center"/>
          </w:tcPr>
          <w:p>
            <w:pPr>
              <w:pStyle w:val="12"/>
            </w:pPr>
            <w:r>
              <w:t>根据项目建设内容进行设定该指标</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液冷系统安装</w:t>
            </w:r>
          </w:p>
        </w:tc>
        <w:tc>
          <w:tcPr>
            <w:tcW w:w="3430" w:type="dxa"/>
            <w:vAlign w:val="center"/>
          </w:tcPr>
          <w:p>
            <w:pPr>
              <w:pStyle w:val="12"/>
            </w:pPr>
            <w:r>
              <w:t>根据项目建设内容进行设定该指标</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并网调试</w:t>
            </w:r>
          </w:p>
        </w:tc>
        <w:tc>
          <w:tcPr>
            <w:tcW w:w="3430" w:type="dxa"/>
            <w:vAlign w:val="center"/>
          </w:tcPr>
          <w:p>
            <w:pPr>
              <w:pStyle w:val="12"/>
            </w:pPr>
            <w:r>
              <w:t>根据项目建设内容进行设定该指标</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外线及土建工程成本偏差率</w:t>
            </w:r>
          </w:p>
        </w:tc>
        <w:tc>
          <w:tcPr>
            <w:tcW w:w="3430" w:type="dxa"/>
            <w:vAlign w:val="center"/>
          </w:tcPr>
          <w:p>
            <w:pPr>
              <w:pStyle w:val="12"/>
            </w:pPr>
            <w:r>
              <w:t>根据项目建设内容进行设定该指标</w:t>
            </w:r>
          </w:p>
        </w:tc>
        <w:tc>
          <w:tcPr>
            <w:tcW w:w="2551" w:type="dxa"/>
            <w:vAlign w:val="center"/>
          </w:tcPr>
          <w:p>
            <w:pPr>
              <w:pStyle w:val="12"/>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项目2025年预期为公司实现收入</w:t>
            </w:r>
          </w:p>
        </w:tc>
        <w:tc>
          <w:tcPr>
            <w:tcW w:w="3430" w:type="dxa"/>
            <w:vAlign w:val="center"/>
          </w:tcPr>
          <w:p>
            <w:pPr>
              <w:pStyle w:val="12"/>
            </w:pPr>
            <w:r>
              <w:t>根据项目运行情况设定该经济效益指标</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通过储能系统的接入改善电能质量</w:t>
            </w:r>
          </w:p>
        </w:tc>
        <w:tc>
          <w:tcPr>
            <w:tcW w:w="3430" w:type="dxa"/>
            <w:vAlign w:val="center"/>
          </w:tcPr>
          <w:p>
            <w:pPr>
              <w:pStyle w:val="12"/>
            </w:pPr>
            <w:r>
              <w:t>根据项目可实现的社会效益情况设定该指标</w:t>
            </w:r>
          </w:p>
        </w:tc>
        <w:tc>
          <w:tcPr>
            <w:tcW w:w="2551" w:type="dxa"/>
            <w:vAlign w:val="center"/>
          </w:tcPr>
          <w:p>
            <w:pPr>
              <w:pStyle w:val="12"/>
            </w:pPr>
            <w:r>
              <w:t>提升电力系统供电可靠性，在临时停电时为经开区电网提供临时可靠电源。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助力改善电力系统效能</w:t>
            </w:r>
          </w:p>
        </w:tc>
        <w:tc>
          <w:tcPr>
            <w:tcW w:w="3430" w:type="dxa"/>
            <w:vAlign w:val="center"/>
          </w:tcPr>
          <w:p>
            <w:pPr>
              <w:pStyle w:val="12"/>
            </w:pPr>
            <w:r>
              <w:t>根据项目可实现的生态效益情况设定该指标</w:t>
            </w:r>
          </w:p>
        </w:tc>
        <w:tc>
          <w:tcPr>
            <w:tcW w:w="2551" w:type="dxa"/>
            <w:vAlign w:val="center"/>
          </w:tcPr>
          <w:p>
            <w:pPr>
              <w:pStyle w:val="12"/>
            </w:pPr>
            <w:r>
              <w:t>提升电力系统的灵活性、经济性和安全性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储能系统建成后的使用年限</w:t>
            </w:r>
          </w:p>
        </w:tc>
        <w:tc>
          <w:tcPr>
            <w:tcW w:w="3430" w:type="dxa"/>
            <w:vAlign w:val="center"/>
          </w:tcPr>
          <w:p>
            <w:pPr>
              <w:pStyle w:val="12"/>
            </w:pPr>
            <w:r>
              <w:t>根据项目可使用年限设定该指标</w:t>
            </w:r>
          </w:p>
        </w:tc>
        <w:tc>
          <w:tcPr>
            <w:tcW w:w="2551" w:type="dxa"/>
            <w:vAlign w:val="center"/>
          </w:tcPr>
          <w:p>
            <w:pPr>
              <w:pStyle w:val="12"/>
            </w:pPr>
            <w:r>
              <w:t>15年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服务客户满意度</w:t>
            </w:r>
          </w:p>
        </w:tc>
        <w:tc>
          <w:tcPr>
            <w:tcW w:w="3430" w:type="dxa"/>
            <w:vAlign w:val="center"/>
          </w:tcPr>
          <w:p>
            <w:pPr>
              <w:pStyle w:val="12"/>
            </w:pPr>
            <w:r>
              <w:t>根据周围环境影响，将满意度设定为指标</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34"/>
      <w:r>
        <w:rPr>
          <w:rFonts w:hint="eastAsia" w:ascii="方正仿宋_GBK" w:hAnsi="方正仿宋_GBK" w:eastAsia="方正仿宋_GBK" w:cs="方正仿宋_GBK"/>
          <w:sz w:val="28"/>
          <w:lang w:val="en-US" w:eastAsia="zh-CN"/>
        </w:rPr>
        <w:t>21</w:t>
      </w:r>
      <w:r>
        <w:rPr>
          <w:rFonts w:ascii="方正仿宋_GBK" w:hAnsi="方正仿宋_GBK" w:eastAsia="方正仿宋_GBK" w:cs="方正仿宋_GBK"/>
          <w:sz w:val="28"/>
        </w:rPr>
        <w:t>.增强泰达控股资本实力（2025年）绩效目标表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增强泰达控股资本实力（2025年）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49250.00</w:t>
            </w:r>
          </w:p>
        </w:tc>
        <w:tc>
          <w:tcPr>
            <w:tcW w:w="1587" w:type="dxa"/>
            <w:vAlign w:val="center"/>
          </w:tcPr>
          <w:p>
            <w:pPr>
              <w:pStyle w:val="13"/>
            </w:pPr>
            <w:r>
              <w:t>其中：财政    资金</w:t>
            </w:r>
          </w:p>
        </w:tc>
        <w:tc>
          <w:tcPr>
            <w:tcW w:w="1843" w:type="dxa"/>
            <w:vAlign w:val="center"/>
          </w:tcPr>
          <w:p>
            <w:pPr>
              <w:pStyle w:val="12"/>
            </w:pPr>
            <w:r>
              <w:t>49250.00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增强泰达控股资本实力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支持泰达控股高质量发展，通过向泰达控股增资，助力企业营业总收入实现同比增长，增强泰达控股国有资本投资公司资本实力，保证泰达控股国有资本保值增值；增加企业流动资金，化解债务风险，不发生债务逾期，使公司主体保持较高信用水平；进一步增强企业偿债能力，降低企业平均融资成本，使企业合并报表资产负债率维持在72%以下水平，降低短期债务占比，优化债务结构；提高公司经营状况，布局增加至少两个新质生产力项目；以落实“三量”“三新”为重点，持续推动京津冀及其他区域协同发展，持续加强与其他优质企业的对接交流，积极开展招商引资工作；多措并举培育增量优质企业，使2025年育精培优入库企业个数有所增加；增加解决应届毕业生就业人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章程修订完成率</w:t>
            </w:r>
          </w:p>
        </w:tc>
        <w:tc>
          <w:tcPr>
            <w:tcW w:w="3430" w:type="dxa"/>
            <w:vAlign w:val="center"/>
          </w:tcPr>
          <w:p>
            <w:pPr>
              <w:pStyle w:val="12"/>
            </w:pPr>
            <w:r>
              <w:t>章程修订完成率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3430" w:type="dxa"/>
            <w:vAlign w:val="center"/>
          </w:tcPr>
          <w:p>
            <w:pPr>
              <w:pStyle w:val="12"/>
            </w:pPr>
            <w:r>
              <w:t>资金支付及时性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拨付资金额</w:t>
            </w:r>
          </w:p>
        </w:tc>
        <w:tc>
          <w:tcPr>
            <w:tcW w:w="3430" w:type="dxa"/>
            <w:vAlign w:val="center"/>
          </w:tcPr>
          <w:p>
            <w:pPr>
              <w:pStyle w:val="12"/>
            </w:pPr>
            <w:r>
              <w:t>拨付资金额</w:t>
            </w:r>
          </w:p>
        </w:tc>
        <w:tc>
          <w:tcPr>
            <w:tcW w:w="2551" w:type="dxa"/>
            <w:vAlign w:val="center"/>
          </w:tcPr>
          <w:p>
            <w:pPr>
              <w:pStyle w:val="12"/>
            </w:pPr>
            <w:r>
              <w:t>≤49250万元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合并报表资产负债率</w:t>
            </w:r>
          </w:p>
        </w:tc>
        <w:tc>
          <w:tcPr>
            <w:tcW w:w="3430" w:type="dxa"/>
            <w:vAlign w:val="center"/>
          </w:tcPr>
          <w:p>
            <w:pPr>
              <w:pStyle w:val="12"/>
            </w:pPr>
            <w:r>
              <w:t>合并报表资产负债率</w:t>
            </w:r>
          </w:p>
        </w:tc>
        <w:tc>
          <w:tcPr>
            <w:tcW w:w="2551" w:type="dxa"/>
            <w:vAlign w:val="center"/>
          </w:tcPr>
          <w:p>
            <w:pPr>
              <w:pStyle w:val="12"/>
            </w:pPr>
            <w: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国有资本保值增值率</w:t>
            </w:r>
          </w:p>
        </w:tc>
        <w:tc>
          <w:tcPr>
            <w:tcW w:w="3430" w:type="dxa"/>
            <w:vAlign w:val="center"/>
          </w:tcPr>
          <w:p>
            <w:pPr>
              <w:pStyle w:val="12"/>
            </w:pPr>
            <w:r>
              <w:t>国有资本保值增值情况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降低企业平均融资成本</w:t>
            </w:r>
          </w:p>
        </w:tc>
        <w:tc>
          <w:tcPr>
            <w:tcW w:w="3430" w:type="dxa"/>
            <w:vAlign w:val="center"/>
          </w:tcPr>
          <w:p>
            <w:pPr>
              <w:pStyle w:val="12"/>
            </w:pPr>
            <w:r>
              <w:t>降低企业平均融资成本</w:t>
            </w:r>
          </w:p>
        </w:tc>
        <w:tc>
          <w:tcPr>
            <w:tcW w:w="2551" w:type="dxa"/>
            <w:vAlign w:val="center"/>
          </w:tcPr>
          <w:p>
            <w:pPr>
              <w:pStyle w:val="12"/>
            </w:pPr>
            <w:r>
              <w:t>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合并报表营业总收入增长</w:t>
            </w:r>
          </w:p>
        </w:tc>
        <w:tc>
          <w:tcPr>
            <w:tcW w:w="3430" w:type="dxa"/>
            <w:vAlign w:val="center"/>
          </w:tcPr>
          <w:p>
            <w:pPr>
              <w:pStyle w:val="12"/>
            </w:pPr>
            <w:r>
              <w:t>合并报表营业总收入增长</w:t>
            </w:r>
          </w:p>
        </w:tc>
        <w:tc>
          <w:tcPr>
            <w:tcW w:w="2551" w:type="dxa"/>
            <w:vAlign w:val="center"/>
          </w:tcPr>
          <w:p>
            <w:pPr>
              <w:pStyle w:val="12"/>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布局新质生产力项目</w:t>
            </w:r>
          </w:p>
        </w:tc>
        <w:tc>
          <w:tcPr>
            <w:tcW w:w="3430" w:type="dxa"/>
            <w:vAlign w:val="center"/>
          </w:tcPr>
          <w:p>
            <w:pPr>
              <w:pStyle w:val="12"/>
            </w:pPr>
            <w:r>
              <w:t>布局新质生产力项目</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招商引资签约项目</w:t>
            </w:r>
          </w:p>
        </w:tc>
        <w:tc>
          <w:tcPr>
            <w:tcW w:w="3430" w:type="dxa"/>
            <w:vAlign w:val="center"/>
          </w:tcPr>
          <w:p>
            <w:pPr>
              <w:pStyle w:val="12"/>
            </w:pPr>
            <w:r>
              <w:t>招商引资签约项目</w:t>
            </w:r>
          </w:p>
        </w:tc>
        <w:tc>
          <w:tcPr>
            <w:tcW w:w="2551" w:type="dxa"/>
            <w:vAlign w:val="center"/>
          </w:tcPr>
          <w:p>
            <w:pPr>
              <w:pStyle w:val="12"/>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育精培优入库企业个数</w:t>
            </w:r>
          </w:p>
        </w:tc>
        <w:tc>
          <w:tcPr>
            <w:tcW w:w="3430" w:type="dxa"/>
            <w:vAlign w:val="center"/>
          </w:tcPr>
          <w:p>
            <w:pPr>
              <w:pStyle w:val="12"/>
            </w:pPr>
            <w:r>
              <w:t>育精培优入库企业个数</w:t>
            </w:r>
          </w:p>
        </w:tc>
        <w:tc>
          <w:tcPr>
            <w:tcW w:w="2551" w:type="dxa"/>
            <w:vAlign w:val="center"/>
          </w:tcPr>
          <w:p>
            <w:pPr>
              <w:pStyle w:val="12"/>
            </w:pPr>
            <w:r>
              <w:t>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解决应届毕业生就业人数</w:t>
            </w:r>
          </w:p>
        </w:tc>
        <w:tc>
          <w:tcPr>
            <w:tcW w:w="3430" w:type="dxa"/>
            <w:vAlign w:val="center"/>
          </w:tcPr>
          <w:p>
            <w:pPr>
              <w:pStyle w:val="12"/>
            </w:pPr>
            <w:r>
              <w:t>解决应届毕业生就业人数</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短期债务占比</w:t>
            </w:r>
          </w:p>
        </w:tc>
        <w:tc>
          <w:tcPr>
            <w:tcW w:w="3430" w:type="dxa"/>
            <w:vAlign w:val="center"/>
          </w:tcPr>
          <w:p>
            <w:pPr>
              <w:pStyle w:val="12"/>
            </w:pPr>
            <w:r>
              <w:t>短期债务占比</w:t>
            </w:r>
          </w:p>
        </w:tc>
        <w:tc>
          <w:tcPr>
            <w:tcW w:w="2551" w:type="dxa"/>
            <w:vAlign w:val="center"/>
          </w:tcPr>
          <w:p>
            <w:pPr>
              <w:pStyle w:val="12"/>
            </w:pPr>
            <w:r>
              <w:t>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公司主体信用评级</w:t>
            </w:r>
          </w:p>
        </w:tc>
        <w:tc>
          <w:tcPr>
            <w:tcW w:w="3430" w:type="dxa"/>
            <w:vAlign w:val="center"/>
          </w:tcPr>
          <w:p>
            <w:pPr>
              <w:pStyle w:val="12"/>
            </w:pPr>
            <w:r>
              <w:t>公司主体信用评级</w:t>
            </w:r>
          </w:p>
        </w:tc>
        <w:tc>
          <w:tcPr>
            <w:tcW w:w="2551" w:type="dxa"/>
            <w:vAlign w:val="center"/>
          </w:tcPr>
          <w:p>
            <w:pPr>
              <w:pStyle w:val="12"/>
            </w:pPr>
            <w:r>
              <w:t>AAA级，四等十级制评级等级中最高评级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35"/>
      <w:r>
        <w:rPr>
          <w:rFonts w:hint="eastAsia" w:ascii="方正仿宋_GBK" w:hAnsi="方正仿宋_GBK" w:eastAsia="方正仿宋_GBK" w:cs="方正仿宋_GBK"/>
          <w:sz w:val="28"/>
          <w:lang w:val="en-US" w:eastAsia="zh-CN"/>
        </w:rPr>
        <w:t>22</w:t>
      </w:r>
      <w:r>
        <w:rPr>
          <w:rFonts w:ascii="方正仿宋_GBK" w:hAnsi="方正仿宋_GBK" w:eastAsia="方正仿宋_GBK" w:cs="方正仿宋_GBK"/>
          <w:sz w:val="28"/>
        </w:rPr>
        <w:t>.</w:t>
      </w:r>
      <w:r>
        <w:rPr>
          <w:rFonts w:hint="eastAsia" w:ascii="方正仿宋_GBK" w:hAnsi="方正仿宋_GBK" w:eastAsia="方正仿宋_GBK" w:cs="方正仿宋_GBK"/>
          <w:sz w:val="28"/>
        </w:rPr>
        <w:t>增强泰达控股资本实力（第一机床总厂及周边片区城市更新项目）</w:t>
      </w:r>
      <w:r>
        <w:rPr>
          <w:rFonts w:ascii="方正仿宋_GBK" w:hAnsi="方正仿宋_GBK" w:eastAsia="方正仿宋_GBK" w:cs="方正仿宋_GBK"/>
          <w:sz w:val="28"/>
        </w:rPr>
        <w:t>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增强泰达控股资本实力</w:t>
            </w:r>
            <w:r>
              <w:rPr>
                <w:rFonts w:hint="eastAsia"/>
              </w:rPr>
              <w:t>（第一机床总厂及周边片区城市更新项目）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23250.00</w:t>
            </w:r>
          </w:p>
        </w:tc>
        <w:tc>
          <w:tcPr>
            <w:tcW w:w="1587" w:type="dxa"/>
            <w:vAlign w:val="center"/>
          </w:tcPr>
          <w:p>
            <w:pPr>
              <w:pStyle w:val="13"/>
            </w:pPr>
            <w:r>
              <w:t>其中：财政    资金</w:t>
            </w:r>
          </w:p>
        </w:tc>
        <w:tc>
          <w:tcPr>
            <w:tcW w:w="1843" w:type="dxa"/>
            <w:vAlign w:val="center"/>
          </w:tcPr>
          <w:p>
            <w:pPr>
              <w:pStyle w:val="12"/>
            </w:pPr>
            <w:r>
              <w:t>23250.00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w:t>
            </w:r>
            <w:r>
              <w:rPr>
                <w:rFonts w:hint="eastAsia"/>
              </w:rPr>
              <w:t>第一机床总厂及周边片区城市更新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276" w:type="dxa"/>
            <w:vAlign w:val="center"/>
          </w:tcPr>
          <w:p>
            <w:pPr>
              <w:pStyle w:val="13"/>
            </w:pPr>
            <w:r>
              <w:t>绩效目标</w:t>
            </w:r>
          </w:p>
        </w:tc>
        <w:tc>
          <w:tcPr>
            <w:tcW w:w="8589" w:type="dxa"/>
            <w:gridSpan w:val="6"/>
            <w:vAlign w:val="center"/>
          </w:tcPr>
          <w:p>
            <w:pPr>
              <w:pStyle w:val="12"/>
            </w:pPr>
            <w:r>
              <w:rPr>
                <w:rFonts w:hint="eastAsia"/>
              </w:rPr>
              <w:t>住宅地块达到主体结构封顶、外檐装饰工程完成；公园地块竣工验收完成；产业北地块基础底板施工完成；电建地块完成电力切改，开工建设；金二地块主体施工。</w:t>
            </w:r>
          </w:p>
        </w:tc>
      </w:tr>
    </w:tbl>
    <w:p>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章程修订完成率</w:t>
            </w:r>
          </w:p>
        </w:tc>
        <w:tc>
          <w:tcPr>
            <w:tcW w:w="3430" w:type="dxa"/>
            <w:vAlign w:val="center"/>
          </w:tcPr>
          <w:p>
            <w:pPr>
              <w:pStyle w:val="12"/>
            </w:pPr>
            <w:r>
              <w:t>章程修订完成率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rFonts w:hint="eastAsia" w:eastAsia="方正书宋_GBK"/>
                <w:lang w:eastAsia="zh-CN"/>
              </w:rPr>
            </w:pPr>
            <w:r>
              <w:t>资金使用合规</w:t>
            </w:r>
            <w:r>
              <w:rPr>
                <w:rFonts w:hint="eastAsia"/>
                <w:lang w:eastAsia="zh-CN"/>
              </w:rPr>
              <w:t>性</w:t>
            </w:r>
          </w:p>
        </w:tc>
        <w:tc>
          <w:tcPr>
            <w:tcW w:w="3430" w:type="dxa"/>
            <w:vAlign w:val="center"/>
          </w:tcPr>
          <w:p>
            <w:pPr>
              <w:pStyle w:val="12"/>
              <w:rPr>
                <w:rFonts w:hint="eastAsia" w:eastAsia="方正书宋_GBK"/>
                <w:lang w:eastAsia="zh-CN"/>
              </w:rPr>
            </w:pPr>
            <w:r>
              <w:t>资金使用合规</w:t>
            </w:r>
            <w:r>
              <w:rPr>
                <w:rFonts w:hint="eastAsia"/>
                <w:lang w:eastAsia="zh-CN"/>
              </w:rPr>
              <w:t>性</w:t>
            </w:r>
          </w:p>
        </w:tc>
        <w:tc>
          <w:tcPr>
            <w:tcW w:w="2551" w:type="dxa"/>
            <w:vAlign w:val="center"/>
          </w:tcPr>
          <w:p>
            <w:pPr>
              <w:pStyle w:val="12"/>
              <w:rPr>
                <w:rFonts w:hint="eastAsia" w:eastAsia="方正书宋_GBK"/>
                <w:lang w:eastAsia="zh-CN"/>
              </w:rPr>
            </w:pPr>
            <w:r>
              <w:rPr>
                <w:rFonts w:hint="eastAsia"/>
                <w:lang w:eastAsia="zh-CN"/>
              </w:rPr>
              <w:t>资金合规使用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rFonts w:hint="eastAsia" w:eastAsia="方正书宋_GBK"/>
                <w:lang w:eastAsia="zh-CN"/>
              </w:rPr>
            </w:pPr>
            <w:r>
              <w:t>资金支付及时</w:t>
            </w:r>
            <w:r>
              <w:rPr>
                <w:rFonts w:hint="eastAsia"/>
                <w:lang w:eastAsia="zh-CN"/>
              </w:rPr>
              <w:t>性</w:t>
            </w:r>
          </w:p>
        </w:tc>
        <w:tc>
          <w:tcPr>
            <w:tcW w:w="3430" w:type="dxa"/>
            <w:vAlign w:val="center"/>
          </w:tcPr>
          <w:p>
            <w:pPr>
              <w:pStyle w:val="12"/>
              <w:rPr>
                <w:rFonts w:hint="eastAsia" w:eastAsia="方正书宋_GBK"/>
                <w:lang w:eastAsia="zh-CN"/>
              </w:rPr>
            </w:pPr>
            <w:r>
              <w:t>资金支付及时</w:t>
            </w:r>
            <w:r>
              <w:rPr>
                <w:rFonts w:hint="eastAsia"/>
                <w:lang w:eastAsia="zh-CN"/>
              </w:rPr>
              <w:t>性</w:t>
            </w:r>
          </w:p>
        </w:tc>
        <w:tc>
          <w:tcPr>
            <w:tcW w:w="2551" w:type="dxa"/>
            <w:vAlign w:val="center"/>
          </w:tcPr>
          <w:p>
            <w:pPr>
              <w:pStyle w:val="12"/>
            </w:pPr>
            <w:r>
              <w:rPr>
                <w:rFonts w:hint="eastAsia"/>
              </w:rPr>
              <w:t>资金在2025年12月31日前拨付到位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时效指标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章程修订及时性</w:t>
            </w:r>
          </w:p>
        </w:tc>
        <w:tc>
          <w:tcPr>
            <w:tcW w:w="3430"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章程修订及时性</w:t>
            </w:r>
          </w:p>
        </w:tc>
        <w:tc>
          <w:tcPr>
            <w:tcW w:w="2551"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国资委出具增资文件之日起45天内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时效指标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工商登记变更及时性</w:t>
            </w:r>
          </w:p>
        </w:tc>
        <w:tc>
          <w:tcPr>
            <w:tcW w:w="3430"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工商登记变更及时性</w:t>
            </w:r>
          </w:p>
        </w:tc>
        <w:tc>
          <w:tcPr>
            <w:tcW w:w="2551"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国资委出具出资人决定之日起30天内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资金额</w:t>
            </w:r>
          </w:p>
        </w:tc>
        <w:tc>
          <w:tcPr>
            <w:tcW w:w="3430" w:type="dxa"/>
            <w:vAlign w:val="center"/>
          </w:tcPr>
          <w:p>
            <w:pPr>
              <w:pStyle w:val="12"/>
            </w:pPr>
            <w:r>
              <w:t>资金额</w:t>
            </w:r>
          </w:p>
        </w:tc>
        <w:tc>
          <w:tcPr>
            <w:tcW w:w="2551" w:type="dxa"/>
            <w:vAlign w:val="center"/>
          </w:tcPr>
          <w:p>
            <w:pPr>
              <w:pStyle w:val="12"/>
            </w:pPr>
            <w:r>
              <w:t>≤</w:t>
            </w:r>
            <w:r>
              <w:rPr>
                <w:rFonts w:hint="eastAsia"/>
                <w:lang w:val="en-US" w:eastAsia="zh-CN"/>
              </w:rPr>
              <w:t>23250</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税收贡献</w:t>
            </w:r>
          </w:p>
        </w:tc>
        <w:tc>
          <w:tcPr>
            <w:tcW w:w="3430" w:type="dxa"/>
            <w:vAlign w:val="center"/>
          </w:tcPr>
          <w:p>
            <w:pPr>
              <w:pStyle w:val="12"/>
            </w:pPr>
            <w:r>
              <w:t>实现税收贡献金额</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书宋_GBK" w:hAnsi="方正书宋_GBK" w:eastAsia="方正书宋_GBK" w:cs="方正书宋_GBK"/>
                <w:sz w:val="21"/>
                <w:szCs w:val="24"/>
                <w:lang w:val="en-US" w:eastAsia="uk-UA" w:bidi="ar-SA"/>
              </w:rPr>
            </w:pPr>
            <w:r>
              <w:t>效益指标</w:t>
            </w:r>
          </w:p>
        </w:tc>
        <w:tc>
          <w:tcPr>
            <w:tcW w:w="1276" w:type="dxa"/>
            <w:vAlign w:val="center"/>
          </w:tcPr>
          <w:p>
            <w:pPr>
              <w:pStyle w:val="12"/>
              <w:rPr>
                <w:rFonts w:ascii="方正书宋_GBK" w:hAnsi="方正书宋_GBK" w:eastAsia="方正书宋_GBK" w:cs="方正书宋_GBK"/>
                <w:sz w:val="21"/>
                <w:szCs w:val="24"/>
                <w:lang w:val="en-US" w:eastAsia="uk-UA" w:bidi="ar-SA"/>
              </w:rPr>
            </w:pPr>
            <w:r>
              <w:t>可持续影响指标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t>建造项目使用年限</w:t>
            </w:r>
          </w:p>
        </w:tc>
        <w:tc>
          <w:tcPr>
            <w:tcW w:w="3430" w:type="dxa"/>
            <w:vAlign w:val="center"/>
          </w:tcPr>
          <w:p>
            <w:pPr>
              <w:pStyle w:val="12"/>
              <w:rPr>
                <w:rFonts w:ascii="方正书宋_GBK" w:hAnsi="方正书宋_GBK" w:eastAsia="方正书宋_GBK" w:cs="方正书宋_GBK"/>
                <w:sz w:val="21"/>
                <w:szCs w:val="24"/>
                <w:lang w:val="en-US" w:eastAsia="uk-UA" w:bidi="ar-SA"/>
              </w:rPr>
            </w:pPr>
            <w:r>
              <w:rPr>
                <w:rFonts w:hint="eastAsia"/>
              </w:rPr>
              <w:t>保留建筑、产业园区建成后使用年限</w:t>
            </w:r>
          </w:p>
        </w:tc>
        <w:tc>
          <w:tcPr>
            <w:tcW w:w="2551" w:type="dxa"/>
            <w:vAlign w:val="center"/>
          </w:tcPr>
          <w:p>
            <w:pPr>
              <w:pStyle w:val="12"/>
              <w:rPr>
                <w:rFonts w:ascii="方正书宋_GBK" w:hAnsi="方正书宋_GBK" w:eastAsia="方正书宋_GBK" w:cs="方正书宋_GBK"/>
                <w:sz w:val="21"/>
                <w:szCs w:val="24"/>
                <w:lang w:val="en-US" w:eastAsia="uk-UA" w:bidi="ar-SA"/>
              </w:rPr>
            </w:pPr>
            <w:r>
              <w:t>≥</w:t>
            </w:r>
            <w:r>
              <w:rPr>
                <w:rFonts w:hint="eastAsia"/>
                <w:lang w:val="en-US" w:eastAsia="zh-CN"/>
              </w:rPr>
              <w:t>20</w:t>
            </w: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书宋_GBK" w:hAnsi="方正书宋_GBK" w:eastAsia="方正书宋_GBK" w:cs="方正书宋_GBK"/>
                <w:sz w:val="21"/>
                <w:szCs w:val="24"/>
                <w:lang w:val="en-US" w:eastAsia="uk-UA" w:bidi="ar-SA"/>
              </w:rPr>
            </w:pPr>
            <w:r>
              <w:t>满意度指标</w:t>
            </w:r>
          </w:p>
        </w:tc>
        <w:tc>
          <w:tcPr>
            <w:tcW w:w="1276" w:type="dxa"/>
            <w:vAlign w:val="center"/>
          </w:tcPr>
          <w:p>
            <w:pPr>
              <w:pStyle w:val="12"/>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t>企业满意度</w:t>
            </w:r>
          </w:p>
        </w:tc>
        <w:tc>
          <w:tcPr>
            <w:tcW w:w="3430" w:type="dxa"/>
            <w:vAlign w:val="center"/>
          </w:tcPr>
          <w:p>
            <w:pPr>
              <w:pStyle w:val="12"/>
              <w:rPr>
                <w:rFonts w:ascii="方正书宋_GBK" w:hAnsi="方正书宋_GBK" w:eastAsia="方正书宋_GBK" w:cs="方正书宋_GBK"/>
                <w:sz w:val="21"/>
                <w:szCs w:val="24"/>
                <w:lang w:val="en-US" w:eastAsia="uk-UA" w:bidi="ar-SA"/>
              </w:rPr>
            </w:pPr>
            <w:r>
              <w:t>企业满意度</w:t>
            </w:r>
          </w:p>
        </w:tc>
        <w:tc>
          <w:tcPr>
            <w:tcW w:w="2551" w:type="dxa"/>
            <w:vAlign w:val="center"/>
          </w:tcPr>
          <w:p>
            <w:pPr>
              <w:pStyle w:val="12"/>
              <w:rPr>
                <w:rFonts w:ascii="方正书宋_GBK" w:hAnsi="方正书宋_GBK" w:eastAsia="方正书宋_GBK" w:cs="方正书宋_GBK"/>
                <w:sz w:val="21"/>
                <w:szCs w:val="24"/>
                <w:lang w:val="en-US" w:eastAsia="uk-UA" w:bidi="ar-SA"/>
              </w:rPr>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36"/>
      <w:r>
        <w:rPr>
          <w:rFonts w:hint="eastAsia" w:ascii="方正仿宋_GBK" w:hAnsi="方正仿宋_GBK" w:eastAsia="方正仿宋_GBK" w:cs="方正仿宋_GBK"/>
          <w:sz w:val="28"/>
          <w:lang w:val="en-US" w:eastAsia="zh-CN"/>
        </w:rPr>
        <w:t>23</w:t>
      </w:r>
      <w:r>
        <w:rPr>
          <w:rFonts w:ascii="方正仿宋_GBK" w:hAnsi="方正仿宋_GBK" w:eastAsia="方正仿宋_GBK" w:cs="方正仿宋_GBK"/>
          <w:sz w:val="28"/>
        </w:rPr>
        <w:t>.增强泰达控股资本实力（南门外大街商圈北部片区城市更新项目）绩效目标表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增强泰达控股资本实力（南门外大街商圈北部片区城市更新项目）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33500.00</w:t>
            </w:r>
          </w:p>
        </w:tc>
        <w:tc>
          <w:tcPr>
            <w:tcW w:w="1587" w:type="dxa"/>
            <w:vAlign w:val="center"/>
          </w:tcPr>
          <w:p>
            <w:pPr>
              <w:pStyle w:val="13"/>
            </w:pPr>
            <w:r>
              <w:t>其中：财政    资金</w:t>
            </w:r>
          </w:p>
        </w:tc>
        <w:tc>
          <w:tcPr>
            <w:tcW w:w="1843" w:type="dxa"/>
            <w:vAlign w:val="center"/>
          </w:tcPr>
          <w:p>
            <w:pPr>
              <w:pStyle w:val="12"/>
            </w:pPr>
            <w:r>
              <w:t>33500.00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用于南门外大街商圈北部片区城市更新项目。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1.A地块主体封顶、二次结构施工完成；B地块二次结构、屋面、外檐门窗完成，公区装修完成80%，地库安装工程整体完成75%；老九章修缮加固完成；小学地块主体封顶；10个老旧小区完成提升改造。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章程修订完成率</w:t>
            </w:r>
          </w:p>
        </w:tc>
        <w:tc>
          <w:tcPr>
            <w:tcW w:w="3430" w:type="dxa"/>
            <w:vAlign w:val="center"/>
          </w:tcPr>
          <w:p>
            <w:pPr>
              <w:pStyle w:val="12"/>
            </w:pPr>
            <w:r>
              <w:t>章程修订完成率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3430" w:type="dxa"/>
            <w:vAlign w:val="center"/>
          </w:tcPr>
          <w:p>
            <w:pPr>
              <w:pStyle w:val="12"/>
            </w:pPr>
            <w:r>
              <w:t>资金支付及时率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拨付资金额</w:t>
            </w:r>
          </w:p>
        </w:tc>
        <w:tc>
          <w:tcPr>
            <w:tcW w:w="3430" w:type="dxa"/>
            <w:vAlign w:val="center"/>
          </w:tcPr>
          <w:p>
            <w:pPr>
              <w:pStyle w:val="12"/>
            </w:pPr>
            <w:r>
              <w:t>拨付资金额</w:t>
            </w:r>
          </w:p>
        </w:tc>
        <w:tc>
          <w:tcPr>
            <w:tcW w:w="2551" w:type="dxa"/>
            <w:vAlign w:val="center"/>
          </w:tcPr>
          <w:p>
            <w:pPr>
              <w:pStyle w:val="12"/>
            </w:pPr>
            <w:r>
              <w:t>≤33500万元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税收贡献</w:t>
            </w:r>
          </w:p>
        </w:tc>
        <w:tc>
          <w:tcPr>
            <w:tcW w:w="3430" w:type="dxa"/>
            <w:vAlign w:val="center"/>
          </w:tcPr>
          <w:p>
            <w:pPr>
              <w:pStyle w:val="12"/>
            </w:pPr>
            <w:r>
              <w:t>实现税收贡献金额</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老旧小区改造面积</w:t>
            </w:r>
          </w:p>
        </w:tc>
        <w:tc>
          <w:tcPr>
            <w:tcW w:w="3430" w:type="dxa"/>
            <w:vAlign w:val="center"/>
          </w:tcPr>
          <w:p>
            <w:pPr>
              <w:pStyle w:val="12"/>
            </w:pPr>
            <w:r>
              <w:t>老旧小区改造面积</w:t>
            </w:r>
          </w:p>
        </w:tc>
        <w:tc>
          <w:tcPr>
            <w:tcW w:w="2551" w:type="dxa"/>
            <w:vAlign w:val="center"/>
          </w:tcPr>
          <w:p>
            <w:pPr>
              <w:pStyle w:val="12"/>
            </w:pPr>
            <w:r>
              <w:t>≥25万平方米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建造项目使用年限</w:t>
            </w:r>
          </w:p>
        </w:tc>
        <w:tc>
          <w:tcPr>
            <w:tcW w:w="3430" w:type="dxa"/>
            <w:vAlign w:val="center"/>
          </w:tcPr>
          <w:p>
            <w:pPr>
              <w:pStyle w:val="12"/>
            </w:pPr>
            <w:r>
              <w:t>购物中心、写字楼建成后使用年限</w:t>
            </w:r>
          </w:p>
        </w:tc>
        <w:tc>
          <w:tcPr>
            <w:tcW w:w="2551" w:type="dxa"/>
            <w:vAlign w:val="center"/>
          </w:tcPr>
          <w:p>
            <w:pPr>
              <w:pStyle w:val="12"/>
            </w:pPr>
            <w:r>
              <w:t>≥30年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≥90%</w:t>
            </w:r>
          </w:p>
        </w:tc>
      </w:tr>
    </w:tbl>
    <w:p>
      <w:pPr>
        <w:bidi w:val="0"/>
        <w:jc w:val="left"/>
        <w:rPr>
          <w:rFonts w:ascii="Times New Roman" w:hAnsi="Times New Roman" w:eastAsia="Times New Roman" w:cs="Times New Roman"/>
          <w:sz w:val="24"/>
          <w:szCs w:val="24"/>
          <w:lang w:val="en-US" w:eastAsia="uk-UA" w:bidi="ar-SA"/>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6735"/>
    <w:rsid w:val="00210762"/>
    <w:rsid w:val="00566735"/>
    <w:rsid w:val="006D0746"/>
    <w:rsid w:val="03551750"/>
    <w:rsid w:val="05536369"/>
    <w:rsid w:val="0A3A0387"/>
    <w:rsid w:val="0B006558"/>
    <w:rsid w:val="0D6F55DE"/>
    <w:rsid w:val="10182929"/>
    <w:rsid w:val="10DF0970"/>
    <w:rsid w:val="13A9079F"/>
    <w:rsid w:val="13CF61D0"/>
    <w:rsid w:val="1585026B"/>
    <w:rsid w:val="1F4950EF"/>
    <w:rsid w:val="26D20240"/>
    <w:rsid w:val="37834981"/>
    <w:rsid w:val="3C8D6CC5"/>
    <w:rsid w:val="3F0E4DB3"/>
    <w:rsid w:val="41653AE0"/>
    <w:rsid w:val="467D4813"/>
    <w:rsid w:val="4910428A"/>
    <w:rsid w:val="4B1A6E54"/>
    <w:rsid w:val="512D244B"/>
    <w:rsid w:val="5CBF2B21"/>
    <w:rsid w:val="619915FD"/>
    <w:rsid w:val="66E67FF2"/>
    <w:rsid w:val="6D211FEC"/>
    <w:rsid w:val="6D2579FC"/>
    <w:rsid w:val="6DA258E8"/>
    <w:rsid w:val="7050320C"/>
    <w:rsid w:val="782E3DD8"/>
    <w:rsid w:val="7915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1" Type="http://schemas.openxmlformats.org/officeDocument/2006/relationships/fontTable" Target="fontTable.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2025-01-15T14:47:04Z</dcterms:created>
  <dcterms:modified xsi:type="dcterms:W3CDTF">2025-01-15T06:47:04Z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2025-01-15T14:47:04Z</dcterms:created>
  <dcterms:modified xsi:type="dcterms:W3CDTF">2025-01-15T06:47:04Z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B21CD81-6F4B-4966-A047-0F98DE640CE4}">
  <ds:schemaRefs/>
</ds:datastoreItem>
</file>

<file path=customXml/itemProps100.xml><?xml version="1.0" encoding="utf-8"?>
<ds:datastoreItem xmlns:ds="http://schemas.openxmlformats.org/officeDocument/2006/customXml" ds:itemID="{E039FFCE-013F-4DC9-B786-F2518C697E57}">
  <ds:schemaRefs/>
</ds:datastoreItem>
</file>

<file path=customXml/itemProps101.xml><?xml version="1.0" encoding="utf-8"?>
<ds:datastoreItem xmlns:ds="http://schemas.openxmlformats.org/officeDocument/2006/customXml" ds:itemID="{5C38C946-F0A9-4010-9DD0-C280C83E8760}">
  <ds:schemaRefs/>
</ds:datastoreItem>
</file>

<file path=customXml/itemProps102.xml><?xml version="1.0" encoding="utf-8"?>
<ds:datastoreItem xmlns:ds="http://schemas.openxmlformats.org/officeDocument/2006/customXml" ds:itemID="{61B0EE7C-632F-4876-9ED1-994EDBD880D1}">
  <ds:schemaRefs/>
</ds:datastoreItem>
</file>

<file path=customXml/itemProps103.xml><?xml version="1.0" encoding="utf-8"?>
<ds:datastoreItem xmlns:ds="http://schemas.openxmlformats.org/officeDocument/2006/customXml" ds:itemID="{F69CCC68-8740-4884-AE3F-B321500F35C0}">
  <ds:schemaRefs/>
</ds:datastoreItem>
</file>

<file path=customXml/itemProps104.xml><?xml version="1.0" encoding="utf-8"?>
<ds:datastoreItem xmlns:ds="http://schemas.openxmlformats.org/officeDocument/2006/customXml" ds:itemID="{0E0C153C-CEFB-4DAE-8D56-51C62E5F7967}">
  <ds:schemaRefs/>
</ds:datastoreItem>
</file>

<file path=customXml/itemProps105.xml><?xml version="1.0" encoding="utf-8"?>
<ds:datastoreItem xmlns:ds="http://schemas.openxmlformats.org/officeDocument/2006/customXml" ds:itemID="{6B7A58C0-FAD9-455E-BFE3-FD06E3741F22}">
  <ds:schemaRefs/>
</ds:datastoreItem>
</file>

<file path=customXml/itemProps11.xml><?xml version="1.0" encoding="utf-8"?>
<ds:datastoreItem xmlns:ds="http://schemas.openxmlformats.org/officeDocument/2006/customXml" ds:itemID="{ACDBB024-9CD8-4CFD-9662-F58558E9CC3A}">
  <ds:schemaRefs/>
</ds:datastoreItem>
</file>

<file path=customXml/itemProps12.xml><?xml version="1.0" encoding="utf-8"?>
<ds:datastoreItem xmlns:ds="http://schemas.openxmlformats.org/officeDocument/2006/customXml" ds:itemID="{89DEA5DA-7B45-4572-BA9F-4C4979E045A2}">
  <ds:schemaRefs/>
</ds:datastoreItem>
</file>

<file path=customXml/itemProps13.xml><?xml version="1.0" encoding="utf-8"?>
<ds:datastoreItem xmlns:ds="http://schemas.openxmlformats.org/officeDocument/2006/customXml" ds:itemID="{4CB96D61-50D5-433B-A7AE-DD86807CE81C}">
  <ds:schemaRefs/>
</ds:datastoreItem>
</file>

<file path=customXml/itemProps14.xml><?xml version="1.0" encoding="utf-8"?>
<ds:datastoreItem xmlns:ds="http://schemas.openxmlformats.org/officeDocument/2006/customXml" ds:itemID="{45A2E8B7-B6E3-4321-B28A-FF14AF8B6110}">
  <ds:schemaRefs/>
</ds:datastoreItem>
</file>

<file path=customXml/itemProps15.xml><?xml version="1.0" encoding="utf-8"?>
<ds:datastoreItem xmlns:ds="http://schemas.openxmlformats.org/officeDocument/2006/customXml" ds:itemID="{BAB3DB71-B075-4F74-8A39-AF26DF567999}">
  <ds:schemaRefs/>
</ds:datastoreItem>
</file>

<file path=customXml/itemProps16.xml><?xml version="1.0" encoding="utf-8"?>
<ds:datastoreItem xmlns:ds="http://schemas.openxmlformats.org/officeDocument/2006/customXml" ds:itemID="{FEC1D3E6-5112-40AC-9EFC-1FBEA963A275}">
  <ds:schemaRefs/>
</ds:datastoreItem>
</file>

<file path=customXml/itemProps17.xml><?xml version="1.0" encoding="utf-8"?>
<ds:datastoreItem xmlns:ds="http://schemas.openxmlformats.org/officeDocument/2006/customXml" ds:itemID="{CF4EB604-A23F-4ED9-B011-CB3A76CC184A}">
  <ds:schemaRefs/>
</ds:datastoreItem>
</file>

<file path=customXml/itemProps18.xml><?xml version="1.0" encoding="utf-8"?>
<ds:datastoreItem xmlns:ds="http://schemas.openxmlformats.org/officeDocument/2006/customXml" ds:itemID="{094B3C5C-9038-41CA-AC1E-766F1E4A24B5}">
  <ds:schemaRefs/>
</ds:datastoreItem>
</file>

<file path=customXml/itemProps19.xml><?xml version="1.0" encoding="utf-8"?>
<ds:datastoreItem xmlns:ds="http://schemas.openxmlformats.org/officeDocument/2006/customXml" ds:itemID="{DF5C153C-6590-431C-8907-6C1D238A6CD3}">
  <ds:schemaRefs/>
</ds:datastoreItem>
</file>

<file path=customXml/itemProps2.xml><?xml version="1.0" encoding="utf-8"?>
<ds:datastoreItem xmlns:ds="http://schemas.openxmlformats.org/officeDocument/2006/customXml" ds:itemID="{E8AFA13B-C9B8-4362-8D4B-CD983390433A}">
  <ds:schemaRefs/>
</ds:datastoreItem>
</file>

<file path=customXml/itemProps20.xml><?xml version="1.0" encoding="utf-8"?>
<ds:datastoreItem xmlns:ds="http://schemas.openxmlformats.org/officeDocument/2006/customXml" ds:itemID="{1D6C0A27-D318-4E31-9ECF-3E963AD75476}">
  <ds:schemaRefs/>
</ds:datastoreItem>
</file>

<file path=customXml/itemProps21.xml><?xml version="1.0" encoding="utf-8"?>
<ds:datastoreItem xmlns:ds="http://schemas.openxmlformats.org/officeDocument/2006/customXml" ds:itemID="{6EA1135C-73CB-4831-80EC-7A04FF0F231A}">
  <ds:schemaRefs/>
</ds:datastoreItem>
</file>

<file path=customXml/itemProps22.xml><?xml version="1.0" encoding="utf-8"?>
<ds:datastoreItem xmlns:ds="http://schemas.openxmlformats.org/officeDocument/2006/customXml" ds:itemID="{96A50588-0AAC-47C0-A23D-2E300BA8C42F}">
  <ds:schemaRefs/>
</ds:datastoreItem>
</file>

<file path=customXml/itemProps23.xml><?xml version="1.0" encoding="utf-8"?>
<ds:datastoreItem xmlns:ds="http://schemas.openxmlformats.org/officeDocument/2006/customXml" ds:itemID="{7ABFE163-BC8E-4C4C-B7CA-EA0CF91FA73A}">
  <ds:schemaRefs/>
</ds:datastoreItem>
</file>

<file path=customXml/itemProps24.xml><?xml version="1.0" encoding="utf-8"?>
<ds:datastoreItem xmlns:ds="http://schemas.openxmlformats.org/officeDocument/2006/customXml" ds:itemID="{EBC4AA52-2E43-4FBD-AA9D-2F32F8814EC4}">
  <ds:schemaRefs/>
</ds:datastoreItem>
</file>

<file path=customXml/itemProps25.xml><?xml version="1.0" encoding="utf-8"?>
<ds:datastoreItem xmlns:ds="http://schemas.openxmlformats.org/officeDocument/2006/customXml" ds:itemID="{ACF4B9EC-ED91-4C17-8700-79A6FFB4D129}">
  <ds:schemaRefs/>
</ds:datastoreItem>
</file>

<file path=customXml/itemProps26.xml><?xml version="1.0" encoding="utf-8"?>
<ds:datastoreItem xmlns:ds="http://schemas.openxmlformats.org/officeDocument/2006/customXml" ds:itemID="{A2510CE7-9CB6-47AF-A1AD-7016074D84DA}">
  <ds:schemaRefs/>
</ds:datastoreItem>
</file>

<file path=customXml/itemProps27.xml><?xml version="1.0" encoding="utf-8"?>
<ds:datastoreItem xmlns:ds="http://schemas.openxmlformats.org/officeDocument/2006/customXml" ds:itemID="{ED9E9B76-5402-47DC-B4BF-FB0FE364C34E}">
  <ds:schemaRefs/>
</ds:datastoreItem>
</file>

<file path=customXml/itemProps28.xml><?xml version="1.0" encoding="utf-8"?>
<ds:datastoreItem xmlns:ds="http://schemas.openxmlformats.org/officeDocument/2006/customXml" ds:itemID="{8DE11785-4DAF-4647-BD33-831AC9626BF7}">
  <ds:schemaRefs/>
</ds:datastoreItem>
</file>

<file path=customXml/itemProps29.xml><?xml version="1.0" encoding="utf-8"?>
<ds:datastoreItem xmlns:ds="http://schemas.openxmlformats.org/officeDocument/2006/customXml" ds:itemID="{E2288352-6433-4CEF-9469-24703F81DD05}">
  <ds:schemaRefs/>
</ds:datastoreItem>
</file>

<file path=customXml/itemProps3.xml><?xml version="1.0" encoding="utf-8"?>
<ds:datastoreItem xmlns:ds="http://schemas.openxmlformats.org/officeDocument/2006/customXml" ds:itemID="{9A1753B5-66FC-413D-B898-CCDFA448179F}">
  <ds:schemaRefs/>
</ds:datastoreItem>
</file>

<file path=customXml/itemProps30.xml><?xml version="1.0" encoding="utf-8"?>
<ds:datastoreItem xmlns:ds="http://schemas.openxmlformats.org/officeDocument/2006/customXml" ds:itemID="{097FD24B-5D0C-4397-B5A2-C208A41E50A5}">
  <ds:schemaRefs/>
</ds:datastoreItem>
</file>

<file path=customXml/itemProps31.xml><?xml version="1.0" encoding="utf-8"?>
<ds:datastoreItem xmlns:ds="http://schemas.openxmlformats.org/officeDocument/2006/customXml" ds:itemID="{F34C582B-DA73-48C9-B13E-8EDEF2E185DD}">
  <ds:schemaRefs/>
</ds:datastoreItem>
</file>

<file path=customXml/itemProps32.xml><?xml version="1.0" encoding="utf-8"?>
<ds:datastoreItem xmlns:ds="http://schemas.openxmlformats.org/officeDocument/2006/customXml" ds:itemID="{73FAC42F-9ABB-44BE-8C77-2F6AD7FF8667}">
  <ds:schemaRefs/>
</ds:datastoreItem>
</file>

<file path=customXml/itemProps33.xml><?xml version="1.0" encoding="utf-8"?>
<ds:datastoreItem xmlns:ds="http://schemas.openxmlformats.org/officeDocument/2006/customXml" ds:itemID="{96DFCE2D-854B-493F-81FB-811794670D8E}">
  <ds:schemaRefs/>
</ds:datastoreItem>
</file>

<file path=customXml/itemProps34.xml><?xml version="1.0" encoding="utf-8"?>
<ds:datastoreItem xmlns:ds="http://schemas.openxmlformats.org/officeDocument/2006/customXml" ds:itemID="{253B268E-83B4-4B47-B631-78350F2A3CEC}">
  <ds:schemaRefs/>
</ds:datastoreItem>
</file>

<file path=customXml/itemProps35.xml><?xml version="1.0" encoding="utf-8"?>
<ds:datastoreItem xmlns:ds="http://schemas.openxmlformats.org/officeDocument/2006/customXml" ds:itemID="{5E01FB97-ECBA-4A82-8633-720F225DD16E}">
  <ds:schemaRefs/>
</ds:datastoreItem>
</file>

<file path=customXml/itemProps36.xml><?xml version="1.0" encoding="utf-8"?>
<ds:datastoreItem xmlns:ds="http://schemas.openxmlformats.org/officeDocument/2006/customXml" ds:itemID="{1EBBAB1D-BCF3-46C5-89B0-16F630BCED58}">
  <ds:schemaRefs/>
</ds:datastoreItem>
</file>

<file path=customXml/itemProps37.xml><?xml version="1.0" encoding="utf-8"?>
<ds:datastoreItem xmlns:ds="http://schemas.openxmlformats.org/officeDocument/2006/customXml" ds:itemID="{630ED39E-E89D-415D-8039-AA0B67AC96F4}">
  <ds:schemaRefs/>
</ds:datastoreItem>
</file>

<file path=customXml/itemProps38.xml><?xml version="1.0" encoding="utf-8"?>
<ds:datastoreItem xmlns:ds="http://schemas.openxmlformats.org/officeDocument/2006/customXml" ds:itemID="{75832937-ADC1-4D98-AABF-D10254397D7F}">
  <ds:schemaRefs/>
</ds:datastoreItem>
</file>

<file path=customXml/itemProps39.xml><?xml version="1.0" encoding="utf-8"?>
<ds:datastoreItem xmlns:ds="http://schemas.openxmlformats.org/officeDocument/2006/customXml" ds:itemID="{A5789A85-46AC-472C-801C-DA4F975A0005}">
  <ds:schemaRefs/>
</ds:datastoreItem>
</file>

<file path=customXml/itemProps4.xml><?xml version="1.0" encoding="utf-8"?>
<ds:datastoreItem xmlns:ds="http://schemas.openxmlformats.org/officeDocument/2006/customXml" ds:itemID="{819205BB-50B8-47B4-9528-F2FB6A2231BD}">
  <ds:schemaRefs/>
</ds:datastoreItem>
</file>

<file path=customXml/itemProps40.xml><?xml version="1.0" encoding="utf-8"?>
<ds:datastoreItem xmlns:ds="http://schemas.openxmlformats.org/officeDocument/2006/customXml" ds:itemID="{104F2D3C-DFE2-410D-94F4-D9705635885A}">
  <ds:schemaRefs/>
</ds:datastoreItem>
</file>

<file path=customXml/itemProps41.xml><?xml version="1.0" encoding="utf-8"?>
<ds:datastoreItem xmlns:ds="http://schemas.openxmlformats.org/officeDocument/2006/customXml" ds:itemID="{D0C469FE-2402-4EC2-AC90-92763D5DE250}">
  <ds:schemaRefs/>
</ds:datastoreItem>
</file>

<file path=customXml/itemProps42.xml><?xml version="1.0" encoding="utf-8"?>
<ds:datastoreItem xmlns:ds="http://schemas.openxmlformats.org/officeDocument/2006/customXml" ds:itemID="{690CF8E8-FF6B-4EA3-9354-5376CE1510B4}">
  <ds:schemaRefs/>
</ds:datastoreItem>
</file>

<file path=customXml/itemProps43.xml><?xml version="1.0" encoding="utf-8"?>
<ds:datastoreItem xmlns:ds="http://schemas.openxmlformats.org/officeDocument/2006/customXml" ds:itemID="{2528C01C-29FC-4E8A-8267-02B06CC8E855}">
  <ds:schemaRefs/>
</ds:datastoreItem>
</file>

<file path=customXml/itemProps44.xml><?xml version="1.0" encoding="utf-8"?>
<ds:datastoreItem xmlns:ds="http://schemas.openxmlformats.org/officeDocument/2006/customXml" ds:itemID="{885DAEE6-BCC1-46ED-B0D2-3705C3FC5DE4}">
  <ds:schemaRefs/>
</ds:datastoreItem>
</file>

<file path=customXml/itemProps45.xml><?xml version="1.0" encoding="utf-8"?>
<ds:datastoreItem xmlns:ds="http://schemas.openxmlformats.org/officeDocument/2006/customXml" ds:itemID="{87189435-0992-42B0-981A-50A21B06F820}">
  <ds:schemaRefs/>
</ds:datastoreItem>
</file>

<file path=customXml/itemProps46.xml><?xml version="1.0" encoding="utf-8"?>
<ds:datastoreItem xmlns:ds="http://schemas.openxmlformats.org/officeDocument/2006/customXml" ds:itemID="{9D8939D8-62F5-44CC-8ADB-916DCE4E1A68}">
  <ds:schemaRefs/>
</ds:datastoreItem>
</file>

<file path=customXml/itemProps47.xml><?xml version="1.0" encoding="utf-8"?>
<ds:datastoreItem xmlns:ds="http://schemas.openxmlformats.org/officeDocument/2006/customXml" ds:itemID="{007C4839-08E9-48CC-ABEE-1A5AC58EB00C}">
  <ds:schemaRefs/>
</ds:datastoreItem>
</file>

<file path=customXml/itemProps48.xml><?xml version="1.0" encoding="utf-8"?>
<ds:datastoreItem xmlns:ds="http://schemas.openxmlformats.org/officeDocument/2006/customXml" ds:itemID="{5F014DDB-20C5-40EE-B3FB-A9D807438775}">
  <ds:schemaRefs/>
</ds:datastoreItem>
</file>

<file path=customXml/itemProps49.xml><?xml version="1.0" encoding="utf-8"?>
<ds:datastoreItem xmlns:ds="http://schemas.openxmlformats.org/officeDocument/2006/customXml" ds:itemID="{7F74CA30-0894-4C8E-ADF0-D02A758F78D0}">
  <ds:schemaRefs/>
</ds:datastoreItem>
</file>

<file path=customXml/itemProps5.xml><?xml version="1.0" encoding="utf-8"?>
<ds:datastoreItem xmlns:ds="http://schemas.openxmlformats.org/officeDocument/2006/customXml" ds:itemID="{A3A133A8-7C2A-4170-9D97-8E12FE3C7D4D}">
  <ds:schemaRefs/>
</ds:datastoreItem>
</file>

<file path=customXml/itemProps50.xml><?xml version="1.0" encoding="utf-8"?>
<ds:datastoreItem xmlns:ds="http://schemas.openxmlformats.org/officeDocument/2006/customXml" ds:itemID="{F31744B1-22B9-494E-8A45-B4200AC33A3E}">
  <ds:schemaRefs/>
</ds:datastoreItem>
</file>

<file path=customXml/itemProps51.xml><?xml version="1.0" encoding="utf-8"?>
<ds:datastoreItem xmlns:ds="http://schemas.openxmlformats.org/officeDocument/2006/customXml" ds:itemID="{0EDB3DDC-79F4-41FA-8EDC-BE122D26CF3D}">
  <ds:schemaRefs/>
</ds:datastoreItem>
</file>

<file path=customXml/itemProps52.xml><?xml version="1.0" encoding="utf-8"?>
<ds:datastoreItem xmlns:ds="http://schemas.openxmlformats.org/officeDocument/2006/customXml" ds:itemID="{D752C3A3-D991-45BA-85A7-7502542D3B79}">
  <ds:schemaRefs/>
</ds:datastoreItem>
</file>

<file path=customXml/itemProps53.xml><?xml version="1.0" encoding="utf-8"?>
<ds:datastoreItem xmlns:ds="http://schemas.openxmlformats.org/officeDocument/2006/customXml" ds:itemID="{1F3FA486-FDC6-4C55-8609-E9B2B32A04A3}">
  <ds:schemaRefs/>
</ds:datastoreItem>
</file>

<file path=customXml/itemProps54.xml><?xml version="1.0" encoding="utf-8"?>
<ds:datastoreItem xmlns:ds="http://schemas.openxmlformats.org/officeDocument/2006/customXml" ds:itemID="{F1FBFD2A-AEBF-48CB-88E3-716C3CF0B851}">
  <ds:schemaRefs/>
</ds:datastoreItem>
</file>

<file path=customXml/itemProps55.xml><?xml version="1.0" encoding="utf-8"?>
<ds:datastoreItem xmlns:ds="http://schemas.openxmlformats.org/officeDocument/2006/customXml" ds:itemID="{B42C39A9-D600-4CC3-9AFE-D21AA18E79A9}">
  <ds:schemaRefs/>
</ds:datastoreItem>
</file>

<file path=customXml/itemProps56.xml><?xml version="1.0" encoding="utf-8"?>
<ds:datastoreItem xmlns:ds="http://schemas.openxmlformats.org/officeDocument/2006/customXml" ds:itemID="{65C0D80D-5E8E-4D0F-9A89-A80FEDB0EA81}">
  <ds:schemaRefs/>
</ds:datastoreItem>
</file>

<file path=customXml/itemProps57.xml><?xml version="1.0" encoding="utf-8"?>
<ds:datastoreItem xmlns:ds="http://schemas.openxmlformats.org/officeDocument/2006/customXml" ds:itemID="{D1E50167-757E-454F-9D80-2A134D1BABF2}">
  <ds:schemaRefs/>
</ds:datastoreItem>
</file>

<file path=customXml/itemProps58.xml><?xml version="1.0" encoding="utf-8"?>
<ds:datastoreItem xmlns:ds="http://schemas.openxmlformats.org/officeDocument/2006/customXml" ds:itemID="{A52619FA-F7FD-4878-8D25-D75ABB6C92E7}">
  <ds:schemaRefs/>
</ds:datastoreItem>
</file>

<file path=customXml/itemProps59.xml><?xml version="1.0" encoding="utf-8"?>
<ds:datastoreItem xmlns:ds="http://schemas.openxmlformats.org/officeDocument/2006/customXml" ds:itemID="{5A6AD48E-0BD0-4A39-8CA1-F5A56FF36E59}">
  <ds:schemaRefs/>
</ds:datastoreItem>
</file>

<file path=customXml/itemProps6.xml><?xml version="1.0" encoding="utf-8"?>
<ds:datastoreItem xmlns:ds="http://schemas.openxmlformats.org/officeDocument/2006/customXml" ds:itemID="{39A24344-4AB3-4BB3-984C-339AFB7501A6}">
  <ds:schemaRefs/>
</ds:datastoreItem>
</file>

<file path=customXml/itemProps60.xml><?xml version="1.0" encoding="utf-8"?>
<ds:datastoreItem xmlns:ds="http://schemas.openxmlformats.org/officeDocument/2006/customXml" ds:itemID="{67641B23-9F99-4555-A0B5-6E6BEBCFA2B9}">
  <ds:schemaRefs/>
</ds:datastoreItem>
</file>

<file path=customXml/itemProps61.xml><?xml version="1.0" encoding="utf-8"?>
<ds:datastoreItem xmlns:ds="http://schemas.openxmlformats.org/officeDocument/2006/customXml" ds:itemID="{E66F7DB3-ED64-4926-BABC-1F7162115D02}">
  <ds:schemaRefs/>
</ds:datastoreItem>
</file>

<file path=customXml/itemProps62.xml><?xml version="1.0" encoding="utf-8"?>
<ds:datastoreItem xmlns:ds="http://schemas.openxmlformats.org/officeDocument/2006/customXml" ds:itemID="{7EE56842-45FB-4817-B414-F99AD5DCA89F}">
  <ds:schemaRefs/>
</ds:datastoreItem>
</file>

<file path=customXml/itemProps63.xml><?xml version="1.0" encoding="utf-8"?>
<ds:datastoreItem xmlns:ds="http://schemas.openxmlformats.org/officeDocument/2006/customXml" ds:itemID="{0E9CEB24-DF80-4D5A-AEF2-D8BC1413FF84}">
  <ds:schemaRefs/>
</ds:datastoreItem>
</file>

<file path=customXml/itemProps64.xml><?xml version="1.0" encoding="utf-8"?>
<ds:datastoreItem xmlns:ds="http://schemas.openxmlformats.org/officeDocument/2006/customXml" ds:itemID="{F31BFADF-70A9-4EBD-A7A9-4420C05F16B5}">
  <ds:schemaRefs/>
</ds:datastoreItem>
</file>

<file path=customXml/itemProps65.xml><?xml version="1.0" encoding="utf-8"?>
<ds:datastoreItem xmlns:ds="http://schemas.openxmlformats.org/officeDocument/2006/customXml" ds:itemID="{104A6AE9-E561-4F3B-B31A-2B2918511C4C}">
  <ds:schemaRefs/>
</ds:datastoreItem>
</file>

<file path=customXml/itemProps66.xml><?xml version="1.0" encoding="utf-8"?>
<ds:datastoreItem xmlns:ds="http://schemas.openxmlformats.org/officeDocument/2006/customXml" ds:itemID="{7E280185-D340-47E8-8E1B-400BA170F886}">
  <ds:schemaRefs/>
</ds:datastoreItem>
</file>

<file path=customXml/itemProps67.xml><?xml version="1.0" encoding="utf-8"?>
<ds:datastoreItem xmlns:ds="http://schemas.openxmlformats.org/officeDocument/2006/customXml" ds:itemID="{8C3D9962-D29D-4741-8308-078FB3EB0B1D}">
  <ds:schemaRefs/>
</ds:datastoreItem>
</file>

<file path=customXml/itemProps68.xml><?xml version="1.0" encoding="utf-8"?>
<ds:datastoreItem xmlns:ds="http://schemas.openxmlformats.org/officeDocument/2006/customXml" ds:itemID="{1F1A213D-1283-48A8-9BC8-BB5143FD0722}">
  <ds:schemaRefs/>
</ds:datastoreItem>
</file>

<file path=customXml/itemProps69.xml><?xml version="1.0" encoding="utf-8"?>
<ds:datastoreItem xmlns:ds="http://schemas.openxmlformats.org/officeDocument/2006/customXml" ds:itemID="{DEDE9E54-8BA2-44AA-A59D-2DC7AADBF97D}">
  <ds:schemaRefs/>
</ds:datastoreItem>
</file>

<file path=customXml/itemProps7.xml><?xml version="1.0" encoding="utf-8"?>
<ds:datastoreItem xmlns:ds="http://schemas.openxmlformats.org/officeDocument/2006/customXml" ds:itemID="{F0404959-8065-4F03-BA9E-7CCD22783392}">
  <ds:schemaRefs/>
</ds:datastoreItem>
</file>

<file path=customXml/itemProps70.xml><?xml version="1.0" encoding="utf-8"?>
<ds:datastoreItem xmlns:ds="http://schemas.openxmlformats.org/officeDocument/2006/customXml" ds:itemID="{671FAF89-F4EE-4B8A-9B47-030242AB2909}">
  <ds:schemaRefs/>
</ds:datastoreItem>
</file>

<file path=customXml/itemProps71.xml><?xml version="1.0" encoding="utf-8"?>
<ds:datastoreItem xmlns:ds="http://schemas.openxmlformats.org/officeDocument/2006/customXml" ds:itemID="{B080799D-2550-4A82-B0A8-90D2DA91C8B2}">
  <ds:schemaRefs/>
</ds:datastoreItem>
</file>

<file path=customXml/itemProps72.xml><?xml version="1.0" encoding="utf-8"?>
<ds:datastoreItem xmlns:ds="http://schemas.openxmlformats.org/officeDocument/2006/customXml" ds:itemID="{080F6132-4EC1-4C67-9304-82FDE31143AF}">
  <ds:schemaRefs/>
</ds:datastoreItem>
</file>

<file path=customXml/itemProps73.xml><?xml version="1.0" encoding="utf-8"?>
<ds:datastoreItem xmlns:ds="http://schemas.openxmlformats.org/officeDocument/2006/customXml" ds:itemID="{DAE6B1CC-5043-45AA-A470-15EFF81F6447}">
  <ds:schemaRefs/>
</ds:datastoreItem>
</file>

<file path=customXml/itemProps74.xml><?xml version="1.0" encoding="utf-8"?>
<ds:datastoreItem xmlns:ds="http://schemas.openxmlformats.org/officeDocument/2006/customXml" ds:itemID="{104315A8-AD8E-4BF4-8FA2-B2FA91F6519F}">
  <ds:schemaRefs/>
</ds:datastoreItem>
</file>

<file path=customXml/itemProps75.xml><?xml version="1.0" encoding="utf-8"?>
<ds:datastoreItem xmlns:ds="http://schemas.openxmlformats.org/officeDocument/2006/customXml" ds:itemID="{7D08D9D5-4D15-4E01-873F-83264323E86B}">
  <ds:schemaRefs/>
</ds:datastoreItem>
</file>

<file path=customXml/itemProps76.xml><?xml version="1.0" encoding="utf-8"?>
<ds:datastoreItem xmlns:ds="http://schemas.openxmlformats.org/officeDocument/2006/customXml" ds:itemID="{92D0C42D-43F6-426A-944C-DB7ECBE8C35C}">
  <ds:schemaRefs/>
</ds:datastoreItem>
</file>

<file path=customXml/itemProps77.xml><?xml version="1.0" encoding="utf-8"?>
<ds:datastoreItem xmlns:ds="http://schemas.openxmlformats.org/officeDocument/2006/customXml" ds:itemID="{E5C4F48C-9E79-43CF-8688-9A0CB687A6B8}">
  <ds:schemaRefs/>
</ds:datastoreItem>
</file>

<file path=customXml/itemProps78.xml><?xml version="1.0" encoding="utf-8"?>
<ds:datastoreItem xmlns:ds="http://schemas.openxmlformats.org/officeDocument/2006/customXml" ds:itemID="{6B71D824-A1AF-4244-AF33-EE275B6186A1}">
  <ds:schemaRefs/>
</ds:datastoreItem>
</file>

<file path=customXml/itemProps79.xml><?xml version="1.0" encoding="utf-8"?>
<ds:datastoreItem xmlns:ds="http://schemas.openxmlformats.org/officeDocument/2006/customXml" ds:itemID="{2A2DAED3-9396-49EF-9F0A-3AB5CD2E6D13}">
  <ds:schemaRefs/>
</ds:datastoreItem>
</file>

<file path=customXml/itemProps8.xml><?xml version="1.0" encoding="utf-8"?>
<ds:datastoreItem xmlns:ds="http://schemas.openxmlformats.org/officeDocument/2006/customXml" ds:itemID="{EF6DCF47-DF4E-4B40-B4F9-A6FDC5B17C21}">
  <ds:schemaRefs/>
</ds:datastoreItem>
</file>

<file path=customXml/itemProps80.xml><?xml version="1.0" encoding="utf-8"?>
<ds:datastoreItem xmlns:ds="http://schemas.openxmlformats.org/officeDocument/2006/customXml" ds:itemID="{4671926B-EE4F-4846-BDF1-5CA20A434EFC}">
  <ds:schemaRefs/>
</ds:datastoreItem>
</file>

<file path=customXml/itemProps81.xml><?xml version="1.0" encoding="utf-8"?>
<ds:datastoreItem xmlns:ds="http://schemas.openxmlformats.org/officeDocument/2006/customXml" ds:itemID="{4607CF83-5B36-4101-AAFB-77E4E6590A82}">
  <ds:schemaRefs/>
</ds:datastoreItem>
</file>

<file path=customXml/itemProps82.xml><?xml version="1.0" encoding="utf-8"?>
<ds:datastoreItem xmlns:ds="http://schemas.openxmlformats.org/officeDocument/2006/customXml" ds:itemID="{45DD748B-2A65-40B1-AA66-30E3AC1F5601}">
  <ds:schemaRefs/>
</ds:datastoreItem>
</file>

<file path=customXml/itemProps83.xml><?xml version="1.0" encoding="utf-8"?>
<ds:datastoreItem xmlns:ds="http://schemas.openxmlformats.org/officeDocument/2006/customXml" ds:itemID="{D3ADB9AE-FE4A-447D-9ABC-CCF36CEF4EDB}">
  <ds:schemaRefs/>
</ds:datastoreItem>
</file>

<file path=customXml/itemProps84.xml><?xml version="1.0" encoding="utf-8"?>
<ds:datastoreItem xmlns:ds="http://schemas.openxmlformats.org/officeDocument/2006/customXml" ds:itemID="{DBBAB291-C187-4FEB-AE78-7DC2FC9401DE}">
  <ds:schemaRefs/>
</ds:datastoreItem>
</file>

<file path=customXml/itemProps85.xml><?xml version="1.0" encoding="utf-8"?>
<ds:datastoreItem xmlns:ds="http://schemas.openxmlformats.org/officeDocument/2006/customXml" ds:itemID="{5ABFEF44-7CDE-43AE-B766-2EB6EEB808BA}">
  <ds:schemaRefs/>
</ds:datastoreItem>
</file>

<file path=customXml/itemProps86.xml><?xml version="1.0" encoding="utf-8"?>
<ds:datastoreItem xmlns:ds="http://schemas.openxmlformats.org/officeDocument/2006/customXml" ds:itemID="{5727660A-4FD3-47D0-8EE5-D330B9ABD6CF}">
  <ds:schemaRefs/>
</ds:datastoreItem>
</file>

<file path=customXml/itemProps87.xml><?xml version="1.0" encoding="utf-8"?>
<ds:datastoreItem xmlns:ds="http://schemas.openxmlformats.org/officeDocument/2006/customXml" ds:itemID="{C17884B1-9228-4883-BA45-75BB5612CE6E}">
  <ds:schemaRefs/>
</ds:datastoreItem>
</file>

<file path=customXml/itemProps88.xml><?xml version="1.0" encoding="utf-8"?>
<ds:datastoreItem xmlns:ds="http://schemas.openxmlformats.org/officeDocument/2006/customXml" ds:itemID="{BF732AC5-DE90-4026-A9AD-94BCE7D697EF}">
  <ds:schemaRefs/>
</ds:datastoreItem>
</file>

<file path=customXml/itemProps89.xml><?xml version="1.0" encoding="utf-8"?>
<ds:datastoreItem xmlns:ds="http://schemas.openxmlformats.org/officeDocument/2006/customXml" ds:itemID="{96C46105-A6C5-479A-B93F-8952DF189387}">
  <ds:schemaRefs/>
</ds:datastoreItem>
</file>

<file path=customXml/itemProps9.xml><?xml version="1.0" encoding="utf-8"?>
<ds:datastoreItem xmlns:ds="http://schemas.openxmlformats.org/officeDocument/2006/customXml" ds:itemID="{F00FFEC8-A223-4CA2-B564-0DDC07DFC740}">
  <ds:schemaRefs/>
</ds:datastoreItem>
</file>

<file path=customXml/itemProps90.xml><?xml version="1.0" encoding="utf-8"?>
<ds:datastoreItem xmlns:ds="http://schemas.openxmlformats.org/officeDocument/2006/customXml" ds:itemID="{4B545A2C-1DE4-46EE-88F0-CCF4EDED8E91}">
  <ds:schemaRefs/>
</ds:datastoreItem>
</file>

<file path=customXml/itemProps91.xml><?xml version="1.0" encoding="utf-8"?>
<ds:datastoreItem xmlns:ds="http://schemas.openxmlformats.org/officeDocument/2006/customXml" ds:itemID="{796A1408-CAC1-46B6-A705-0F6DB70C342C}">
  <ds:schemaRefs/>
</ds:datastoreItem>
</file>

<file path=customXml/itemProps92.xml><?xml version="1.0" encoding="utf-8"?>
<ds:datastoreItem xmlns:ds="http://schemas.openxmlformats.org/officeDocument/2006/customXml" ds:itemID="{8D62F11B-4D94-4910-B7E1-6CF59B6CA0A1}">
  <ds:schemaRefs/>
</ds:datastoreItem>
</file>

<file path=customXml/itemProps93.xml><?xml version="1.0" encoding="utf-8"?>
<ds:datastoreItem xmlns:ds="http://schemas.openxmlformats.org/officeDocument/2006/customXml" ds:itemID="{9BB8ED9D-5D36-4BFF-866A-7E02C35082AB}">
  <ds:schemaRefs/>
</ds:datastoreItem>
</file>

<file path=customXml/itemProps94.xml><?xml version="1.0" encoding="utf-8"?>
<ds:datastoreItem xmlns:ds="http://schemas.openxmlformats.org/officeDocument/2006/customXml" ds:itemID="{A4E18108-A84C-4DE5-BEAE-A07863FA39EF}">
  <ds:schemaRefs/>
</ds:datastoreItem>
</file>

<file path=customXml/itemProps95.xml><?xml version="1.0" encoding="utf-8"?>
<ds:datastoreItem xmlns:ds="http://schemas.openxmlformats.org/officeDocument/2006/customXml" ds:itemID="{581ED631-A214-47D9-A1A6-12A2B418717A}">
  <ds:schemaRefs/>
</ds:datastoreItem>
</file>

<file path=customXml/itemProps96.xml><?xml version="1.0" encoding="utf-8"?>
<ds:datastoreItem xmlns:ds="http://schemas.openxmlformats.org/officeDocument/2006/customXml" ds:itemID="{126F65BF-2A86-4EA8-896E-82C0C0DBA9A7}">
  <ds:schemaRefs/>
</ds:datastoreItem>
</file>

<file path=customXml/itemProps97.xml><?xml version="1.0" encoding="utf-8"?>
<ds:datastoreItem xmlns:ds="http://schemas.openxmlformats.org/officeDocument/2006/customXml" ds:itemID="{8068690F-32A3-48FC-A373-BB67D1D93552}">
  <ds:schemaRefs/>
</ds:datastoreItem>
</file>

<file path=customXml/itemProps98.xml><?xml version="1.0" encoding="utf-8"?>
<ds:datastoreItem xmlns:ds="http://schemas.openxmlformats.org/officeDocument/2006/customXml" ds:itemID="{CBB3C9B4-7792-46B9-9697-2FD9836EDA63}">
  <ds:schemaRefs/>
</ds:datastoreItem>
</file>

<file path=customXml/itemProps99.xml><?xml version="1.0" encoding="utf-8"?>
<ds:datastoreItem xmlns:ds="http://schemas.openxmlformats.org/officeDocument/2006/customXml" ds:itemID="{AC868C47-6E8F-4C92-843B-5F366FD9320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72</Pages>
  <Words>6243</Words>
  <Characters>35587</Characters>
  <Lines>296</Lines>
  <Paragraphs>83</Paragraphs>
  <TotalTime>25</TotalTime>
  <ScaleCrop>false</ScaleCrop>
  <LinksUpToDate>false</LinksUpToDate>
  <CharactersWithSpaces>41747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2025-01-15T14:47:00Z</dcterms:created>
  <dc:creator>hp</dc:creator>
  <cp:lastModifiedBy>hp</cp:lastModifiedBy>
  <dcterms:modified xsi:type="dcterms:W3CDTF">2025-03-06T08:22:33Z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4EE06FF6989D473599FA6AAEC3295F17</vt:lpwstr>
  </property>
</Properties>
</file>