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4362F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right="0" w:rightChars="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u w:val="none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u w:val="none"/>
          <w:lang w:val="en-US" w:eastAsia="zh-CN"/>
        </w:rPr>
        <w:t>1</w:t>
      </w:r>
    </w:p>
    <w:p w14:paraId="39942F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u w:val="none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u w:val="none"/>
        </w:rPr>
        <w:t>评估机构执业质量评价表</w:t>
      </w:r>
    </w:p>
    <w:p w14:paraId="0B7DDF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36"/>
          <w:szCs w:val="36"/>
          <w:highlight w:val="none"/>
          <w:u w:val="none"/>
          <w:lang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  <w:highlight w:val="none"/>
          <w:u w:val="none"/>
          <w:lang w:eastAsia="zh-CN"/>
        </w:rPr>
        <w:t>（股东权益评估项目）</w:t>
      </w:r>
    </w:p>
    <w:tbl>
      <w:tblPr>
        <w:tblStyle w:val="5"/>
        <w:tblW w:w="5310" w:type="pct"/>
        <w:tblInd w:w="-2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2"/>
        <w:gridCol w:w="2592"/>
        <w:gridCol w:w="2383"/>
        <w:gridCol w:w="2076"/>
      </w:tblGrid>
      <w:tr w14:paraId="34222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000" w:type="pct"/>
            <w:gridSpan w:val="4"/>
            <w:noWrap/>
            <w:vAlign w:val="center"/>
          </w:tcPr>
          <w:p w14:paraId="6245E3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  <w:u w:val="none"/>
              </w:rPr>
              <w:t>评估项目基本情况</w:t>
            </w:r>
          </w:p>
        </w:tc>
      </w:tr>
      <w:tr w14:paraId="0DB89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290" w:type="pct"/>
            <w:noWrap/>
            <w:vAlign w:val="center"/>
          </w:tcPr>
          <w:p w14:paraId="7840D0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u w:val="none"/>
              </w:rPr>
              <w:t>项目名称</w:t>
            </w:r>
          </w:p>
        </w:tc>
        <w:tc>
          <w:tcPr>
            <w:tcW w:w="3709" w:type="pct"/>
            <w:gridSpan w:val="3"/>
            <w:noWrap/>
            <w:vAlign w:val="center"/>
          </w:tcPr>
          <w:p w14:paraId="318223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u w:val="none"/>
              </w:rPr>
            </w:pPr>
          </w:p>
        </w:tc>
      </w:tr>
      <w:tr w14:paraId="116ADC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290" w:type="pct"/>
            <w:noWrap/>
            <w:vAlign w:val="center"/>
          </w:tcPr>
          <w:p w14:paraId="0D5DD5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u w:val="none"/>
              </w:rPr>
              <w:t>经济行为类型</w:t>
            </w:r>
          </w:p>
        </w:tc>
        <w:tc>
          <w:tcPr>
            <w:tcW w:w="1363" w:type="pct"/>
            <w:noWrap/>
            <w:vAlign w:val="center"/>
          </w:tcPr>
          <w:p w14:paraId="6BDA42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253" w:type="pct"/>
            <w:noWrap/>
            <w:vAlign w:val="center"/>
          </w:tcPr>
          <w:p w14:paraId="1B058B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u w:val="none"/>
              </w:rPr>
              <w:t>评估对象</w:t>
            </w:r>
          </w:p>
        </w:tc>
        <w:tc>
          <w:tcPr>
            <w:tcW w:w="1092" w:type="pct"/>
            <w:noWrap/>
            <w:vAlign w:val="center"/>
          </w:tcPr>
          <w:p w14:paraId="60614D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u w:val="none"/>
              </w:rPr>
            </w:pPr>
          </w:p>
        </w:tc>
      </w:tr>
      <w:tr w14:paraId="62157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290" w:type="pct"/>
            <w:noWrap/>
            <w:vAlign w:val="center"/>
          </w:tcPr>
          <w:p w14:paraId="307221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u w:val="none"/>
              </w:rPr>
              <w:t>评估机构名称</w:t>
            </w:r>
          </w:p>
        </w:tc>
        <w:tc>
          <w:tcPr>
            <w:tcW w:w="1363" w:type="pct"/>
            <w:noWrap/>
            <w:vAlign w:val="center"/>
          </w:tcPr>
          <w:p w14:paraId="182C5D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253" w:type="pct"/>
            <w:noWrap/>
            <w:vAlign w:val="center"/>
          </w:tcPr>
          <w:p w14:paraId="08DCF0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u w:val="none"/>
              </w:rPr>
              <w:t>评估结论选用的</w:t>
            </w:r>
          </w:p>
          <w:p w14:paraId="3251D5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u w:val="none"/>
              </w:rPr>
              <w:t>评估方法</w:t>
            </w:r>
          </w:p>
        </w:tc>
        <w:tc>
          <w:tcPr>
            <w:tcW w:w="1092" w:type="pct"/>
            <w:noWrap/>
            <w:vAlign w:val="center"/>
          </w:tcPr>
          <w:p w14:paraId="210D8C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u w:val="none"/>
              </w:rPr>
            </w:pPr>
          </w:p>
        </w:tc>
      </w:tr>
      <w:tr w14:paraId="07F55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4" w:hRule="atLeast"/>
        </w:trPr>
        <w:tc>
          <w:tcPr>
            <w:tcW w:w="1290" w:type="pct"/>
            <w:noWrap/>
            <w:vAlign w:val="center"/>
          </w:tcPr>
          <w:p w14:paraId="5B71C8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u w:val="none"/>
              </w:rPr>
              <w:t>签字评估师1</w:t>
            </w:r>
          </w:p>
        </w:tc>
        <w:tc>
          <w:tcPr>
            <w:tcW w:w="1363" w:type="pct"/>
            <w:noWrap/>
            <w:vAlign w:val="center"/>
          </w:tcPr>
          <w:p w14:paraId="6F6968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253" w:type="pct"/>
            <w:noWrap/>
            <w:vAlign w:val="center"/>
          </w:tcPr>
          <w:p w14:paraId="1A89AA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u w:val="none"/>
              </w:rPr>
              <w:t>签字评估师2</w:t>
            </w:r>
          </w:p>
        </w:tc>
        <w:tc>
          <w:tcPr>
            <w:tcW w:w="1092" w:type="pct"/>
            <w:noWrap/>
            <w:vAlign w:val="center"/>
          </w:tcPr>
          <w:p w14:paraId="5EC258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u w:val="none"/>
              </w:rPr>
            </w:pPr>
          </w:p>
        </w:tc>
      </w:tr>
      <w:tr w14:paraId="47DB54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290" w:type="pct"/>
            <w:noWrap/>
            <w:vAlign w:val="center"/>
          </w:tcPr>
          <w:p w14:paraId="6FBB26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u w:val="none"/>
              </w:rPr>
              <w:t>总资产账面值</w:t>
            </w:r>
          </w:p>
          <w:p w14:paraId="3EBE41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u w:val="none"/>
              </w:rPr>
              <w:t>（万元）</w:t>
            </w:r>
          </w:p>
        </w:tc>
        <w:tc>
          <w:tcPr>
            <w:tcW w:w="1363" w:type="pct"/>
            <w:noWrap/>
            <w:vAlign w:val="center"/>
          </w:tcPr>
          <w:p w14:paraId="3B351B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253" w:type="pct"/>
            <w:noWrap/>
            <w:vAlign w:val="center"/>
          </w:tcPr>
          <w:p w14:paraId="3C8E65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u w:val="none"/>
              </w:rPr>
              <w:t>净资产账面值</w:t>
            </w:r>
          </w:p>
          <w:p w14:paraId="30AAB0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u w:val="none"/>
              </w:rPr>
              <w:t>（万元）</w:t>
            </w:r>
          </w:p>
        </w:tc>
        <w:tc>
          <w:tcPr>
            <w:tcW w:w="1092" w:type="pct"/>
            <w:noWrap/>
            <w:vAlign w:val="center"/>
          </w:tcPr>
          <w:p w14:paraId="6794CD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u w:val="none"/>
              </w:rPr>
            </w:pPr>
          </w:p>
        </w:tc>
      </w:tr>
      <w:tr w14:paraId="51D4A7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290" w:type="pct"/>
            <w:noWrap/>
            <w:vAlign w:val="center"/>
          </w:tcPr>
          <w:p w14:paraId="37CEE0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u w:val="none"/>
              </w:rPr>
              <w:t>净资产评估值</w:t>
            </w:r>
          </w:p>
          <w:p w14:paraId="579F74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u w:val="none"/>
              </w:rPr>
              <w:t>（万元）</w:t>
            </w:r>
          </w:p>
        </w:tc>
        <w:tc>
          <w:tcPr>
            <w:tcW w:w="1363" w:type="pct"/>
            <w:noWrap/>
            <w:vAlign w:val="center"/>
          </w:tcPr>
          <w:p w14:paraId="572309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253" w:type="pct"/>
            <w:noWrap/>
            <w:vAlign w:val="center"/>
          </w:tcPr>
          <w:p w14:paraId="398B0A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1"/>
                <w:w w:val="89"/>
                <w:kern w:val="0"/>
                <w:sz w:val="28"/>
                <w:szCs w:val="28"/>
                <w:highlight w:val="none"/>
                <w:u w:val="none"/>
                <w:fitText w:val="2000" w:id="506742685"/>
              </w:rPr>
              <w:t>净资产评估增值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4"/>
                <w:w w:val="89"/>
                <w:kern w:val="0"/>
                <w:sz w:val="28"/>
                <w:szCs w:val="28"/>
                <w:highlight w:val="none"/>
                <w:u w:val="none"/>
                <w:fitText w:val="2000" w:id="506742685"/>
              </w:rPr>
              <w:t>率</w:t>
            </w:r>
          </w:p>
        </w:tc>
        <w:tc>
          <w:tcPr>
            <w:tcW w:w="1092" w:type="pct"/>
            <w:noWrap/>
            <w:vAlign w:val="center"/>
          </w:tcPr>
          <w:p w14:paraId="53A8BC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u w:val="none"/>
              </w:rPr>
            </w:pPr>
          </w:p>
        </w:tc>
      </w:tr>
      <w:tr w14:paraId="77A8E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290" w:type="pct"/>
            <w:noWrap/>
            <w:vAlign w:val="center"/>
          </w:tcPr>
          <w:p w14:paraId="60FA21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u w:val="none"/>
                <w:lang w:eastAsia="zh-CN"/>
              </w:rPr>
              <w:t>出具企业独立评估说明的数量</w:t>
            </w:r>
          </w:p>
        </w:tc>
        <w:tc>
          <w:tcPr>
            <w:tcW w:w="3709" w:type="pct"/>
            <w:gridSpan w:val="3"/>
            <w:noWrap/>
            <w:vAlign w:val="center"/>
          </w:tcPr>
          <w:p w14:paraId="0ECB66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u w:val="none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 xml:space="preserve">10家以下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u w:val="none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 xml:space="preserve">100家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u w:val="none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100家及以上</w:t>
            </w:r>
          </w:p>
        </w:tc>
      </w:tr>
    </w:tbl>
    <w:p w14:paraId="5DDF893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exact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u w:val="none"/>
        </w:rPr>
        <w:br w:type="page"/>
      </w:r>
    </w:p>
    <w:tbl>
      <w:tblPr>
        <w:tblStyle w:val="5"/>
        <w:tblW w:w="5310" w:type="pct"/>
        <w:tblInd w:w="-2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9"/>
        <w:gridCol w:w="1251"/>
        <w:gridCol w:w="3309"/>
        <w:gridCol w:w="993"/>
        <w:gridCol w:w="444"/>
        <w:gridCol w:w="1470"/>
        <w:gridCol w:w="787"/>
      </w:tblGrid>
      <w:tr w14:paraId="356D8F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000" w:type="pct"/>
            <w:gridSpan w:val="7"/>
            <w:noWrap/>
            <w:vAlign w:val="center"/>
          </w:tcPr>
          <w:p w14:paraId="3171C4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  <w:u w:val="none"/>
              </w:rPr>
              <w:t>评估项目质量评价情况</w:t>
            </w:r>
          </w:p>
        </w:tc>
      </w:tr>
      <w:tr w14:paraId="64BFA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57" w:type="pct"/>
            <w:noWrap/>
            <w:vAlign w:val="center"/>
          </w:tcPr>
          <w:p w14:paraId="44C87A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  <w:u w:val="none"/>
              </w:rPr>
              <w:t>评价主题</w:t>
            </w:r>
          </w:p>
        </w:tc>
        <w:tc>
          <w:tcPr>
            <w:tcW w:w="2924" w:type="pct"/>
            <w:gridSpan w:val="3"/>
            <w:noWrap/>
            <w:vAlign w:val="center"/>
          </w:tcPr>
          <w:p w14:paraId="131F8C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  <w:u w:val="none"/>
              </w:rPr>
              <w:t>评价内容</w:t>
            </w:r>
          </w:p>
        </w:tc>
        <w:tc>
          <w:tcPr>
            <w:tcW w:w="1007" w:type="pct"/>
            <w:gridSpan w:val="2"/>
            <w:noWrap/>
            <w:vAlign w:val="center"/>
          </w:tcPr>
          <w:p w14:paraId="31808E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  <w:u w:val="none"/>
              </w:rPr>
              <w:t>评价标准</w:t>
            </w:r>
          </w:p>
        </w:tc>
        <w:tc>
          <w:tcPr>
            <w:tcW w:w="410" w:type="pct"/>
            <w:noWrap/>
            <w:vAlign w:val="center"/>
          </w:tcPr>
          <w:p w14:paraId="0E9815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  <w:u w:val="none"/>
              </w:rPr>
              <w:t>得分情况</w:t>
            </w:r>
          </w:p>
        </w:tc>
      </w:tr>
      <w:tr w14:paraId="68DA5F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57" w:type="pct"/>
            <w:vMerge w:val="restart"/>
            <w:noWrap/>
            <w:vAlign w:val="center"/>
          </w:tcPr>
          <w:p w14:paraId="7A0D66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  <w:u w:val="none"/>
              </w:rPr>
              <w:t>服务质量评价</w:t>
            </w:r>
          </w:p>
          <w:p w14:paraId="3706C9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  <w:u w:val="none"/>
              </w:rPr>
              <w:t>（20分）</w:t>
            </w:r>
          </w:p>
        </w:tc>
        <w:tc>
          <w:tcPr>
            <w:tcW w:w="2924" w:type="pct"/>
            <w:gridSpan w:val="3"/>
            <w:noWrap/>
            <w:vAlign w:val="center"/>
          </w:tcPr>
          <w:p w14:paraId="5D898B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  <w:t>项目团队配置情况（2分）</w:t>
            </w:r>
          </w:p>
        </w:tc>
        <w:tc>
          <w:tcPr>
            <w:tcW w:w="1007" w:type="pct"/>
            <w:gridSpan w:val="2"/>
            <w:noWrap/>
            <w:vAlign w:val="center"/>
          </w:tcPr>
          <w:p w14:paraId="5487C9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  <w:t>优秀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  <w:t>2分</w:t>
            </w:r>
          </w:p>
          <w:p w14:paraId="26B08A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  <w:t>一般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  <w:t>1分</w:t>
            </w:r>
          </w:p>
          <w:p w14:paraId="567E4A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  <w:t>较差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  <w:t>0分</w:t>
            </w:r>
          </w:p>
        </w:tc>
        <w:tc>
          <w:tcPr>
            <w:tcW w:w="410" w:type="pct"/>
            <w:noWrap/>
            <w:vAlign w:val="center"/>
          </w:tcPr>
          <w:p w14:paraId="39EC48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69B263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57" w:type="pct"/>
            <w:vMerge w:val="continue"/>
            <w:noWrap/>
            <w:vAlign w:val="center"/>
          </w:tcPr>
          <w:p w14:paraId="344425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</w:p>
        </w:tc>
        <w:tc>
          <w:tcPr>
            <w:tcW w:w="2924" w:type="pct"/>
            <w:gridSpan w:val="3"/>
            <w:noWrap/>
            <w:vAlign w:val="center"/>
          </w:tcPr>
          <w:p w14:paraId="241862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  <w:t>项目团队工作态度、项目负责人沟通协调能力。（3分）</w:t>
            </w:r>
          </w:p>
        </w:tc>
        <w:tc>
          <w:tcPr>
            <w:tcW w:w="1007" w:type="pct"/>
            <w:gridSpan w:val="2"/>
            <w:noWrap/>
            <w:vAlign w:val="center"/>
          </w:tcPr>
          <w:p w14:paraId="1965B5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  <w:t>优秀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  <w:t>3分</w:t>
            </w:r>
          </w:p>
          <w:p w14:paraId="79D32A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  <w:t>一般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  <w:t>1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  <w:t>2分</w:t>
            </w:r>
          </w:p>
          <w:p w14:paraId="183B63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  <w:t>较差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  <w:t>0分</w:t>
            </w:r>
          </w:p>
        </w:tc>
        <w:tc>
          <w:tcPr>
            <w:tcW w:w="410" w:type="pct"/>
            <w:noWrap/>
            <w:vAlign w:val="center"/>
          </w:tcPr>
          <w:p w14:paraId="123CAF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07EE5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57" w:type="pct"/>
            <w:vMerge w:val="continue"/>
            <w:noWrap/>
            <w:vAlign w:val="center"/>
          </w:tcPr>
          <w:p w14:paraId="30703F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</w:p>
        </w:tc>
        <w:tc>
          <w:tcPr>
            <w:tcW w:w="2924" w:type="pct"/>
            <w:gridSpan w:val="3"/>
            <w:noWrap/>
            <w:vAlign w:val="center"/>
          </w:tcPr>
          <w:p w14:paraId="39BB3E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  <w:t>项目方案设计、计划安排情况。（3分）</w:t>
            </w:r>
          </w:p>
        </w:tc>
        <w:tc>
          <w:tcPr>
            <w:tcW w:w="1007" w:type="pct"/>
            <w:gridSpan w:val="2"/>
            <w:noWrap/>
            <w:vAlign w:val="center"/>
          </w:tcPr>
          <w:p w14:paraId="1AFD32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  <w:t>优秀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  <w:t>3分</w:t>
            </w:r>
          </w:p>
          <w:p w14:paraId="137405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  <w:t>一般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  <w:t>1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  <w:t>2分</w:t>
            </w:r>
          </w:p>
          <w:p w14:paraId="713ED5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  <w:t>较差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  <w:t>0分</w:t>
            </w:r>
          </w:p>
        </w:tc>
        <w:tc>
          <w:tcPr>
            <w:tcW w:w="410" w:type="pct"/>
            <w:noWrap/>
            <w:vAlign w:val="center"/>
          </w:tcPr>
          <w:p w14:paraId="20DC6D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797C3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57" w:type="pct"/>
            <w:vMerge w:val="continue"/>
            <w:noWrap/>
            <w:vAlign w:val="center"/>
          </w:tcPr>
          <w:p w14:paraId="6F2D68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</w:p>
        </w:tc>
        <w:tc>
          <w:tcPr>
            <w:tcW w:w="2924" w:type="pct"/>
            <w:gridSpan w:val="3"/>
            <w:noWrap/>
            <w:vAlign w:val="center"/>
          </w:tcPr>
          <w:p w14:paraId="09BC39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  <w:t>评估人员对评估对象实施全面的评估核查程序，如各类资产实地调查、函证、查询、访谈等工作的尽责情况。（5分）</w:t>
            </w:r>
          </w:p>
        </w:tc>
        <w:tc>
          <w:tcPr>
            <w:tcW w:w="1007" w:type="pct"/>
            <w:gridSpan w:val="2"/>
            <w:noWrap/>
            <w:vAlign w:val="center"/>
          </w:tcPr>
          <w:p w14:paraId="136EA8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  <w:t>优秀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  <w:t>4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  <w:t>5分</w:t>
            </w:r>
          </w:p>
          <w:p w14:paraId="2F20BA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  <w:t>一般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  <w:t>2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  <w:t>3分</w:t>
            </w:r>
          </w:p>
          <w:p w14:paraId="0EAE9F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  <w:t>较差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  <w:t>0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  <w:t>1分</w:t>
            </w:r>
          </w:p>
        </w:tc>
        <w:tc>
          <w:tcPr>
            <w:tcW w:w="410" w:type="pct"/>
            <w:noWrap/>
            <w:vAlign w:val="center"/>
          </w:tcPr>
          <w:p w14:paraId="441906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0E532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57" w:type="pct"/>
            <w:vMerge w:val="continue"/>
            <w:noWrap/>
            <w:vAlign w:val="center"/>
          </w:tcPr>
          <w:p w14:paraId="188D9C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</w:p>
        </w:tc>
        <w:tc>
          <w:tcPr>
            <w:tcW w:w="2924" w:type="pct"/>
            <w:gridSpan w:val="3"/>
            <w:noWrap/>
            <w:vAlign w:val="center"/>
          </w:tcPr>
          <w:p w14:paraId="5882E1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  <w:t>出具评估报告的及时性。（2分）</w:t>
            </w:r>
          </w:p>
        </w:tc>
        <w:tc>
          <w:tcPr>
            <w:tcW w:w="1007" w:type="pct"/>
            <w:gridSpan w:val="2"/>
            <w:noWrap/>
            <w:vAlign w:val="center"/>
          </w:tcPr>
          <w:p w14:paraId="4E593A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  <w:t>及时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  <w:t>2分</w:t>
            </w:r>
          </w:p>
          <w:p w14:paraId="7BE176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  <w:t>不及时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  <w:t>0分</w:t>
            </w:r>
          </w:p>
        </w:tc>
        <w:tc>
          <w:tcPr>
            <w:tcW w:w="410" w:type="pct"/>
            <w:noWrap/>
            <w:vAlign w:val="center"/>
          </w:tcPr>
          <w:p w14:paraId="5973B4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46A11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57" w:type="pct"/>
            <w:vMerge w:val="continue"/>
            <w:noWrap/>
            <w:vAlign w:val="center"/>
          </w:tcPr>
          <w:p w14:paraId="3F5719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</w:p>
        </w:tc>
        <w:tc>
          <w:tcPr>
            <w:tcW w:w="2924" w:type="pct"/>
            <w:gridSpan w:val="3"/>
            <w:noWrap/>
            <w:vAlign w:val="center"/>
          </w:tcPr>
          <w:p w14:paraId="5E62D1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  <w:t>审核意见答复及时性及质量。（5分）</w:t>
            </w:r>
          </w:p>
        </w:tc>
        <w:tc>
          <w:tcPr>
            <w:tcW w:w="1007" w:type="pct"/>
            <w:gridSpan w:val="2"/>
            <w:noWrap/>
            <w:vAlign w:val="center"/>
          </w:tcPr>
          <w:p w14:paraId="1550DE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  <w:t>优秀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  <w:t>4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  <w:t>5分</w:t>
            </w:r>
          </w:p>
          <w:p w14:paraId="0E0BFB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  <w:t>一般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  <w:t>2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  <w:t>3分</w:t>
            </w:r>
          </w:p>
          <w:p w14:paraId="295DA9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  <w:t>较差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  <w:t>0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  <w:t>1分</w:t>
            </w:r>
          </w:p>
        </w:tc>
        <w:tc>
          <w:tcPr>
            <w:tcW w:w="410" w:type="pct"/>
            <w:noWrap/>
            <w:vAlign w:val="center"/>
          </w:tcPr>
          <w:p w14:paraId="3F17C8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20D1B9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57" w:type="pct"/>
            <w:vMerge w:val="restart"/>
            <w:noWrap/>
            <w:vAlign w:val="center"/>
          </w:tcPr>
          <w:p w14:paraId="484528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  <w:u w:val="none"/>
              </w:rPr>
              <w:t>评估报告</w:t>
            </w:r>
          </w:p>
          <w:p w14:paraId="03D386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  <w:u w:val="none"/>
              </w:rPr>
              <w:t>质量评价</w:t>
            </w:r>
          </w:p>
          <w:p w14:paraId="46C98A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  <w:u w:val="none"/>
              </w:rPr>
              <w:t>（80分）</w:t>
            </w:r>
          </w:p>
        </w:tc>
        <w:tc>
          <w:tcPr>
            <w:tcW w:w="657" w:type="pct"/>
            <w:vMerge w:val="restart"/>
            <w:noWrap/>
            <w:vAlign w:val="center"/>
          </w:tcPr>
          <w:p w14:paraId="0916E8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both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  <w:u w:val="none"/>
              </w:rPr>
              <w:t>评估报告</w:t>
            </w:r>
          </w:p>
          <w:p w14:paraId="25DBF0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both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  <w:u w:val="none"/>
              </w:rPr>
              <w:t>内容的</w:t>
            </w:r>
          </w:p>
          <w:p w14:paraId="6E4040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both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  <w:u w:val="none"/>
              </w:rPr>
              <w:t>完整性、</w:t>
            </w:r>
          </w:p>
          <w:p w14:paraId="64D38A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both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  <w:u w:val="none"/>
              </w:rPr>
              <w:t>合理性</w:t>
            </w:r>
          </w:p>
          <w:p w14:paraId="75AFDB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  <w:u w:val="none"/>
              </w:rPr>
              <w:t>（22分）</w:t>
            </w:r>
          </w:p>
        </w:tc>
        <w:tc>
          <w:tcPr>
            <w:tcW w:w="2266" w:type="pct"/>
            <w:gridSpan w:val="2"/>
            <w:noWrap/>
            <w:vAlign w:val="center"/>
          </w:tcPr>
          <w:p w14:paraId="049873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  <w:t>评估报告、评估说明、评估明细表、利用专业报告是否齐全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  <w:t>特别是收益法预测表是否完整。（2分）</w:t>
            </w:r>
          </w:p>
        </w:tc>
        <w:tc>
          <w:tcPr>
            <w:tcW w:w="1007" w:type="pct"/>
            <w:gridSpan w:val="2"/>
            <w:noWrap/>
            <w:vAlign w:val="center"/>
          </w:tcPr>
          <w:p w14:paraId="431FDA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  <w:t>完整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  <w:t>2分</w:t>
            </w:r>
          </w:p>
          <w:p w14:paraId="7CD402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  <w:t>不完整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  <w:t>0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  <w:t>1分</w:t>
            </w:r>
          </w:p>
        </w:tc>
        <w:tc>
          <w:tcPr>
            <w:tcW w:w="410" w:type="pct"/>
            <w:noWrap/>
            <w:vAlign w:val="center"/>
          </w:tcPr>
          <w:p w14:paraId="339AF1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716E5F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5" w:hRule="atLeast"/>
        </w:trPr>
        <w:tc>
          <w:tcPr>
            <w:tcW w:w="657" w:type="pct"/>
            <w:vMerge w:val="continue"/>
            <w:noWrap/>
            <w:vAlign w:val="center"/>
          </w:tcPr>
          <w:p w14:paraId="5E7A3B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</w:p>
        </w:tc>
        <w:tc>
          <w:tcPr>
            <w:tcW w:w="657" w:type="pct"/>
            <w:vMerge w:val="continue"/>
            <w:noWrap/>
            <w:vAlign w:val="center"/>
          </w:tcPr>
          <w:p w14:paraId="55DD5C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266" w:type="pct"/>
            <w:gridSpan w:val="2"/>
            <w:noWrap/>
            <w:vAlign w:val="center"/>
          </w:tcPr>
          <w:p w14:paraId="567973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  <w:t>评估报告内容是否包含：声明、摘要、正文、附件等内容，签字盖章是否完整，附件是否完整，包括经济行为决策文件、审计报告、企业营业执照、企业产权登记证、委托方及被评估企业承诺函、相关资产权属证明文件、评估师承诺函、评估机构备案公告、营业执照、评估师资质证明、委托合同等内容。（4分）</w:t>
            </w:r>
          </w:p>
        </w:tc>
        <w:tc>
          <w:tcPr>
            <w:tcW w:w="1007" w:type="pct"/>
            <w:gridSpan w:val="2"/>
            <w:noWrap/>
            <w:vAlign w:val="center"/>
          </w:tcPr>
          <w:p w14:paraId="1C5337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  <w:t>完整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  <w:t>4分</w:t>
            </w:r>
          </w:p>
          <w:p w14:paraId="0F87DE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  <w:t>一般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  <w:t>2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  <w:t>3分</w:t>
            </w:r>
          </w:p>
          <w:p w14:paraId="210822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  <w:t>较差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  <w:t>0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  <w:t>1分</w:t>
            </w:r>
          </w:p>
        </w:tc>
        <w:tc>
          <w:tcPr>
            <w:tcW w:w="410" w:type="pct"/>
            <w:noWrap/>
            <w:vAlign w:val="center"/>
          </w:tcPr>
          <w:p w14:paraId="53A288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11C7B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657" w:type="pct"/>
            <w:vMerge w:val="continue"/>
            <w:noWrap/>
            <w:vAlign w:val="center"/>
          </w:tcPr>
          <w:p w14:paraId="0CC71A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</w:p>
        </w:tc>
        <w:tc>
          <w:tcPr>
            <w:tcW w:w="657" w:type="pct"/>
            <w:vMerge w:val="continue"/>
            <w:noWrap/>
            <w:vAlign w:val="center"/>
          </w:tcPr>
          <w:p w14:paraId="64BA6F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266" w:type="pct"/>
            <w:gridSpan w:val="2"/>
            <w:noWrap/>
            <w:vAlign w:val="center"/>
          </w:tcPr>
          <w:p w14:paraId="2239CE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  <w:t>评估方法的选取是否合理，是否采用两种方法进行评估，如果只采用一种评估方法，理由是否充分合理。（4分）</w:t>
            </w:r>
          </w:p>
        </w:tc>
        <w:tc>
          <w:tcPr>
            <w:tcW w:w="1007" w:type="pct"/>
            <w:gridSpan w:val="2"/>
            <w:noWrap/>
            <w:vAlign w:val="center"/>
          </w:tcPr>
          <w:p w14:paraId="001700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  <w:t>合理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  <w:t>4分</w:t>
            </w:r>
          </w:p>
          <w:p w14:paraId="5EC6BE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w w:val="8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w w:val="80"/>
                <w:sz w:val="24"/>
                <w:szCs w:val="24"/>
                <w:highlight w:val="none"/>
                <w:u w:val="none"/>
              </w:rPr>
              <w:t>理由不充分</w:t>
            </w:r>
            <w:r>
              <w:rPr>
                <w:rFonts w:hint="default" w:ascii="Times New Roman" w:hAnsi="Times New Roman" w:eastAsia="仿宋_GB2312" w:cs="Times New Roman"/>
                <w:color w:val="auto"/>
                <w:w w:val="80"/>
                <w:sz w:val="24"/>
                <w:szCs w:val="24"/>
                <w:highlight w:val="none"/>
                <w:u w:val="none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auto"/>
                <w:w w:val="80"/>
                <w:sz w:val="24"/>
                <w:szCs w:val="24"/>
                <w:highlight w:val="none"/>
                <w:u w:val="none"/>
              </w:rPr>
              <w:t>0</w:t>
            </w:r>
            <w:r>
              <w:rPr>
                <w:rFonts w:hint="default" w:ascii="Times New Roman" w:hAnsi="Times New Roman" w:eastAsia="仿宋_GB2312" w:cs="Times New Roman"/>
                <w:color w:val="auto"/>
                <w:w w:val="80"/>
                <w:sz w:val="24"/>
                <w:szCs w:val="24"/>
                <w:highlight w:val="none"/>
                <w:u w:val="none"/>
                <w:lang w:val="en-US" w:eastAsia="zh-CN"/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auto"/>
                <w:w w:val="80"/>
                <w:sz w:val="24"/>
                <w:szCs w:val="24"/>
                <w:highlight w:val="none"/>
                <w:u w:val="none"/>
              </w:rPr>
              <w:t>2分</w:t>
            </w:r>
          </w:p>
          <w:p w14:paraId="463D52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  <w:t>不合理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  <w:t>0分</w:t>
            </w:r>
          </w:p>
        </w:tc>
        <w:tc>
          <w:tcPr>
            <w:tcW w:w="410" w:type="pct"/>
            <w:noWrap/>
            <w:vAlign w:val="center"/>
          </w:tcPr>
          <w:p w14:paraId="479363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6B0FDF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atLeast"/>
        </w:trPr>
        <w:tc>
          <w:tcPr>
            <w:tcW w:w="657" w:type="pct"/>
            <w:vMerge w:val="continue"/>
            <w:noWrap/>
            <w:vAlign w:val="center"/>
          </w:tcPr>
          <w:p w14:paraId="46EEE0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</w:p>
        </w:tc>
        <w:tc>
          <w:tcPr>
            <w:tcW w:w="657" w:type="pct"/>
            <w:vMerge w:val="continue"/>
            <w:noWrap/>
            <w:vAlign w:val="center"/>
          </w:tcPr>
          <w:p w14:paraId="141A3D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266" w:type="pct"/>
            <w:gridSpan w:val="2"/>
            <w:noWrap/>
            <w:vAlign w:val="center"/>
          </w:tcPr>
          <w:p w14:paraId="29053A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  <w:t>评估程序是否履行到位，是否存在核查评估范围不够尽责，遗漏企业户数或资产情况，是否存在评估程序受限制情况，如果存在，是否实施了替代程序，对评估结果是否有重大影响。（4分）</w:t>
            </w:r>
          </w:p>
        </w:tc>
        <w:tc>
          <w:tcPr>
            <w:tcW w:w="1007" w:type="pct"/>
            <w:gridSpan w:val="2"/>
            <w:noWrap/>
            <w:vAlign w:val="center"/>
          </w:tcPr>
          <w:p w14:paraId="37DCC2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  <w:t>优秀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  <w:t>4分</w:t>
            </w:r>
          </w:p>
          <w:p w14:paraId="554DA4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  <w:t>一般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  <w:t>2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  <w:t>3分</w:t>
            </w:r>
          </w:p>
          <w:p w14:paraId="074CFC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  <w:t>较差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  <w:t>0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  <w:t>1分</w:t>
            </w:r>
          </w:p>
        </w:tc>
        <w:tc>
          <w:tcPr>
            <w:tcW w:w="410" w:type="pct"/>
            <w:noWrap/>
            <w:vAlign w:val="center"/>
          </w:tcPr>
          <w:p w14:paraId="042CDC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7D2B1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57" w:type="pct"/>
            <w:vMerge w:val="continue"/>
            <w:noWrap/>
            <w:vAlign w:val="center"/>
          </w:tcPr>
          <w:p w14:paraId="427177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</w:p>
        </w:tc>
        <w:tc>
          <w:tcPr>
            <w:tcW w:w="657" w:type="pct"/>
            <w:vMerge w:val="continue"/>
            <w:noWrap/>
            <w:vAlign w:val="center"/>
          </w:tcPr>
          <w:p w14:paraId="002220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266" w:type="pct"/>
            <w:gridSpan w:val="2"/>
            <w:noWrap/>
            <w:vAlign w:val="center"/>
          </w:tcPr>
          <w:p w14:paraId="03AD89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  <w:t>评估结论的选择是否符合评估对象的特点，是否能公允反映评估对象的价值。（4分）</w:t>
            </w:r>
          </w:p>
        </w:tc>
        <w:tc>
          <w:tcPr>
            <w:tcW w:w="1007" w:type="pct"/>
            <w:gridSpan w:val="2"/>
            <w:noWrap/>
            <w:vAlign w:val="center"/>
          </w:tcPr>
          <w:p w14:paraId="202D43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  <w:t>合理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  <w:t>4分</w:t>
            </w:r>
          </w:p>
          <w:p w14:paraId="4E0908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  <w:t>不合理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  <w:t>0分</w:t>
            </w:r>
          </w:p>
        </w:tc>
        <w:tc>
          <w:tcPr>
            <w:tcW w:w="410" w:type="pct"/>
            <w:noWrap/>
            <w:vAlign w:val="center"/>
          </w:tcPr>
          <w:p w14:paraId="1DA0C1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5EB584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657" w:type="pct"/>
            <w:vMerge w:val="continue"/>
            <w:noWrap/>
            <w:vAlign w:val="center"/>
          </w:tcPr>
          <w:p w14:paraId="7B1696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</w:p>
        </w:tc>
        <w:tc>
          <w:tcPr>
            <w:tcW w:w="657" w:type="pct"/>
            <w:vMerge w:val="continue"/>
            <w:noWrap/>
            <w:vAlign w:val="center"/>
          </w:tcPr>
          <w:p w14:paraId="562EA3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266" w:type="pct"/>
            <w:gridSpan w:val="2"/>
            <w:noWrap/>
            <w:vAlign w:val="center"/>
          </w:tcPr>
          <w:p w14:paraId="13FA8F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  <w:t>特别事项说明是否准确、完整，是否存在对评估结果有重大影响的特别事项仅披露，不做对评估结果影响的判断。（4分）</w:t>
            </w:r>
          </w:p>
        </w:tc>
        <w:tc>
          <w:tcPr>
            <w:tcW w:w="1007" w:type="pct"/>
            <w:gridSpan w:val="2"/>
            <w:noWrap/>
            <w:vAlign w:val="center"/>
          </w:tcPr>
          <w:p w14:paraId="1D041A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  <w:t>优秀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  <w:t>4分</w:t>
            </w:r>
          </w:p>
          <w:p w14:paraId="162BD9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  <w:t>一般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  <w:t>2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  <w:t>3分</w:t>
            </w:r>
          </w:p>
          <w:p w14:paraId="154440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  <w:t>较差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  <w:t>0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  <w:t>1分</w:t>
            </w:r>
          </w:p>
        </w:tc>
        <w:tc>
          <w:tcPr>
            <w:tcW w:w="410" w:type="pct"/>
            <w:noWrap/>
            <w:vAlign w:val="center"/>
          </w:tcPr>
          <w:p w14:paraId="59B57C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19985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1" w:hRule="atLeast"/>
        </w:trPr>
        <w:tc>
          <w:tcPr>
            <w:tcW w:w="657" w:type="pct"/>
            <w:vMerge w:val="continue"/>
            <w:noWrap/>
            <w:vAlign w:val="center"/>
          </w:tcPr>
          <w:p w14:paraId="301160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</w:p>
        </w:tc>
        <w:tc>
          <w:tcPr>
            <w:tcW w:w="657" w:type="pct"/>
            <w:vMerge w:val="restart"/>
            <w:noWrap/>
            <w:vAlign w:val="center"/>
          </w:tcPr>
          <w:p w14:paraId="57DD23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both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  <w:u w:val="none"/>
              </w:rPr>
              <w:t>评估说明</w:t>
            </w:r>
          </w:p>
          <w:p w14:paraId="06EECD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both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  <w:u w:val="none"/>
              </w:rPr>
              <w:t>内容的</w:t>
            </w:r>
          </w:p>
          <w:p w14:paraId="2DB727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both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  <w:u w:val="none"/>
              </w:rPr>
              <w:t>完整性、</w:t>
            </w:r>
          </w:p>
          <w:p w14:paraId="70B897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both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  <w:u w:val="none"/>
              </w:rPr>
              <w:t>合理性</w:t>
            </w:r>
          </w:p>
          <w:p w14:paraId="4628D4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  <w:u w:val="none"/>
              </w:rPr>
              <w:t>（45分）</w:t>
            </w:r>
          </w:p>
        </w:tc>
        <w:tc>
          <w:tcPr>
            <w:tcW w:w="2266" w:type="pct"/>
            <w:gridSpan w:val="2"/>
            <w:noWrap/>
            <w:vAlign w:val="center"/>
          </w:tcPr>
          <w:p w14:paraId="0D4CB2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  <w:t>资产基础法部分：说明内容是否符合相关评估准则规定，是否根据资产分类介绍评估方法，各类资产选取的评估方法、参数以及评估结果是否合理，重要资产是否有案例，案例作价是否与取价依据匹配、计算无误，账外无形资产是否纳入评估范围，是否存在简单按账面值确认评估值且理由不充分的情况。（20分）</w:t>
            </w:r>
          </w:p>
        </w:tc>
        <w:tc>
          <w:tcPr>
            <w:tcW w:w="1007" w:type="pct"/>
            <w:gridSpan w:val="2"/>
            <w:noWrap/>
            <w:vAlign w:val="center"/>
          </w:tcPr>
          <w:p w14:paraId="4DE103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  <w:t>优秀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  <w:t>17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  <w:t>20分</w:t>
            </w:r>
          </w:p>
          <w:p w14:paraId="58443A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  <w:t>较好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  <w:t>13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  <w:t>16分</w:t>
            </w:r>
          </w:p>
          <w:p w14:paraId="492964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  <w:t>一般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  <w:t>9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  <w:t>12分</w:t>
            </w:r>
          </w:p>
          <w:p w14:paraId="6D9222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  <w:t>较差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  <w:t>0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  <w:t>8分</w:t>
            </w:r>
          </w:p>
        </w:tc>
        <w:tc>
          <w:tcPr>
            <w:tcW w:w="410" w:type="pct"/>
            <w:noWrap/>
            <w:vAlign w:val="center"/>
          </w:tcPr>
          <w:p w14:paraId="57FA0A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1AC27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9" w:hRule="atLeast"/>
        </w:trPr>
        <w:tc>
          <w:tcPr>
            <w:tcW w:w="657" w:type="pct"/>
            <w:vMerge w:val="continue"/>
            <w:noWrap/>
            <w:vAlign w:val="center"/>
          </w:tcPr>
          <w:p w14:paraId="676589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</w:p>
        </w:tc>
        <w:tc>
          <w:tcPr>
            <w:tcW w:w="657" w:type="pct"/>
            <w:vMerge w:val="continue"/>
            <w:noWrap/>
            <w:vAlign w:val="center"/>
          </w:tcPr>
          <w:p w14:paraId="17A905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266" w:type="pct"/>
            <w:gridSpan w:val="2"/>
            <w:noWrap/>
            <w:vAlign w:val="center"/>
          </w:tcPr>
          <w:p w14:paraId="5164AB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  <w:t>收益法部分：对企业资产、财务情况的分析是否充分、合理，是否根据企业所在行业、经营特点、收益情况等选择恰当的收益模型，是否合理确定收益期限，对应的折现率确定过程和依据是否合理，是否对经营性资产的收入、成本及费用、折旧摊销、营运资金、资本性支出、所得税等进行合理预测，并充分说明依据及理由，是否对被评估企业的非经营性资产、负债和溢余资产进行准确界定及评估。（20分）</w:t>
            </w:r>
          </w:p>
        </w:tc>
        <w:tc>
          <w:tcPr>
            <w:tcW w:w="1007" w:type="pct"/>
            <w:gridSpan w:val="2"/>
            <w:noWrap/>
            <w:vAlign w:val="center"/>
          </w:tcPr>
          <w:p w14:paraId="061186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  <w:t>优秀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  <w:t>17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  <w:t>20分</w:t>
            </w:r>
          </w:p>
          <w:p w14:paraId="7649DE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  <w:t>较好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  <w:t>13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  <w:t>16分</w:t>
            </w:r>
          </w:p>
          <w:p w14:paraId="361182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  <w:t>一般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  <w:t>9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  <w:t>12分</w:t>
            </w:r>
          </w:p>
          <w:p w14:paraId="5D9D64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  <w:t>较差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  <w:t>0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  <w:t>8分</w:t>
            </w:r>
          </w:p>
        </w:tc>
        <w:tc>
          <w:tcPr>
            <w:tcW w:w="410" w:type="pct"/>
            <w:noWrap/>
            <w:vAlign w:val="center"/>
          </w:tcPr>
          <w:p w14:paraId="11F2B9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50469F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4" w:hRule="atLeast"/>
        </w:trPr>
        <w:tc>
          <w:tcPr>
            <w:tcW w:w="657" w:type="pct"/>
            <w:vMerge w:val="continue"/>
            <w:noWrap/>
            <w:vAlign w:val="center"/>
          </w:tcPr>
          <w:p w14:paraId="79ACA7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</w:p>
        </w:tc>
        <w:tc>
          <w:tcPr>
            <w:tcW w:w="657" w:type="pct"/>
            <w:vMerge w:val="continue"/>
            <w:noWrap/>
            <w:vAlign w:val="center"/>
          </w:tcPr>
          <w:p w14:paraId="536FD8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266" w:type="pct"/>
            <w:gridSpan w:val="2"/>
            <w:noWrap/>
            <w:vAlign w:val="center"/>
          </w:tcPr>
          <w:p w14:paraId="627E3C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  <w:t>市场法部分：选择的可比案例是否与被评估企业具有可比性，是否对相关数据进行分析调整，并消除偶然因素，选择的价值比率是否合理，是否合理考虑流动性折扣，是否根据企业实际情况选择多种价值比率，并进行合理分析，确定最终评估结果。（20分）</w:t>
            </w:r>
          </w:p>
        </w:tc>
        <w:tc>
          <w:tcPr>
            <w:tcW w:w="1007" w:type="pct"/>
            <w:gridSpan w:val="2"/>
            <w:noWrap/>
            <w:vAlign w:val="center"/>
          </w:tcPr>
          <w:p w14:paraId="7BAFFB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  <w:t>优秀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  <w:t>17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  <w:t>20分</w:t>
            </w:r>
          </w:p>
          <w:p w14:paraId="09DE82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  <w:t>较好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  <w:t>13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  <w:t>16分</w:t>
            </w:r>
          </w:p>
          <w:p w14:paraId="0AC736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  <w:t>一般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  <w:t>9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  <w:t>12分</w:t>
            </w:r>
          </w:p>
          <w:p w14:paraId="193956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  <w:t>较差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  <w:t>0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  <w:t>8分</w:t>
            </w:r>
          </w:p>
        </w:tc>
        <w:tc>
          <w:tcPr>
            <w:tcW w:w="410" w:type="pct"/>
            <w:noWrap/>
            <w:vAlign w:val="center"/>
          </w:tcPr>
          <w:p w14:paraId="36B336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48137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657" w:type="pct"/>
            <w:vMerge w:val="continue"/>
            <w:noWrap/>
            <w:vAlign w:val="center"/>
          </w:tcPr>
          <w:p w14:paraId="4D8764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</w:p>
        </w:tc>
        <w:tc>
          <w:tcPr>
            <w:tcW w:w="657" w:type="pct"/>
            <w:vMerge w:val="continue"/>
            <w:noWrap/>
            <w:vAlign w:val="center"/>
          </w:tcPr>
          <w:p w14:paraId="2BB8F4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266" w:type="pct"/>
            <w:gridSpan w:val="2"/>
            <w:noWrap/>
            <w:vAlign w:val="center"/>
          </w:tcPr>
          <w:p w14:paraId="32A94B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  <w:t>评估说明整体是否详略得当，是否存在明显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模板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  <w:t>化内容，或者说明简略无法判断合理性的情况，是否存在较多低级错误。（5分）</w:t>
            </w:r>
          </w:p>
        </w:tc>
        <w:tc>
          <w:tcPr>
            <w:tcW w:w="1007" w:type="pct"/>
            <w:gridSpan w:val="2"/>
            <w:noWrap/>
            <w:vAlign w:val="center"/>
          </w:tcPr>
          <w:p w14:paraId="4E2407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  <w:t>优秀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  <w:t>5分</w:t>
            </w:r>
          </w:p>
          <w:p w14:paraId="04F917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  <w:t>一般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  <w:t>3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  <w:t>4分</w:t>
            </w:r>
          </w:p>
          <w:p w14:paraId="196828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  <w:t>较差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  <w:t>0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  <w:t>2分</w:t>
            </w:r>
          </w:p>
        </w:tc>
        <w:tc>
          <w:tcPr>
            <w:tcW w:w="410" w:type="pct"/>
            <w:noWrap/>
            <w:vAlign w:val="center"/>
          </w:tcPr>
          <w:p w14:paraId="4E1045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460525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657" w:type="pct"/>
            <w:vMerge w:val="continue"/>
            <w:noWrap/>
            <w:vAlign w:val="center"/>
          </w:tcPr>
          <w:p w14:paraId="698EFB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</w:p>
        </w:tc>
        <w:tc>
          <w:tcPr>
            <w:tcW w:w="657" w:type="pct"/>
            <w:vMerge w:val="restart"/>
            <w:noWrap/>
            <w:vAlign w:val="center"/>
          </w:tcPr>
          <w:p w14:paraId="320C30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both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  <w:u w:val="none"/>
              </w:rPr>
              <w:t>评估报告</w:t>
            </w:r>
          </w:p>
          <w:p w14:paraId="5EF8F9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both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  <w:u w:val="none"/>
              </w:rPr>
              <w:t>修改情况</w:t>
            </w:r>
          </w:p>
          <w:p w14:paraId="6A1D36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  <w:u w:val="none"/>
              </w:rPr>
              <w:t>（13分）</w:t>
            </w:r>
          </w:p>
        </w:tc>
        <w:tc>
          <w:tcPr>
            <w:tcW w:w="2266" w:type="pct"/>
            <w:gridSpan w:val="2"/>
            <w:noWrap/>
            <w:vAlign w:val="center"/>
          </w:tcPr>
          <w:p w14:paraId="7278F5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  <w:t>评估报告是否因评估机构原因经过三次以上修改才符合要求。（5分）</w:t>
            </w:r>
          </w:p>
        </w:tc>
        <w:tc>
          <w:tcPr>
            <w:tcW w:w="1007" w:type="pct"/>
            <w:gridSpan w:val="2"/>
            <w:noWrap/>
            <w:vAlign w:val="center"/>
          </w:tcPr>
          <w:p w14:paraId="348202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  <w:t>0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  <w:t>1次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  <w:t>5分</w:t>
            </w:r>
          </w:p>
          <w:p w14:paraId="63640F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  <w:t>2次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  <w:t>分</w:t>
            </w:r>
          </w:p>
          <w:p w14:paraId="17C0CA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  <w:t>3次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  <w:t>分</w:t>
            </w:r>
          </w:p>
          <w:p w14:paraId="4BF4F6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1"/>
                <w:w w:val="88"/>
                <w:kern w:val="0"/>
                <w:sz w:val="24"/>
                <w:szCs w:val="24"/>
                <w:highlight w:val="none"/>
                <w:u w:val="none"/>
                <w:fitText w:val="1560" w:id="749369026"/>
              </w:rPr>
              <w:t>3次以上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1"/>
                <w:w w:val="88"/>
                <w:kern w:val="0"/>
                <w:sz w:val="24"/>
                <w:szCs w:val="24"/>
                <w:highlight w:val="none"/>
                <w:u w:val="none"/>
                <w:fitText w:val="1560" w:id="749369026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1"/>
                <w:w w:val="88"/>
                <w:kern w:val="0"/>
                <w:sz w:val="24"/>
                <w:szCs w:val="24"/>
                <w:highlight w:val="none"/>
                <w:u w:val="none"/>
                <w:fitText w:val="1560" w:id="749369026"/>
              </w:rPr>
              <w:t>0</w:t>
            </w:r>
            <w:r>
              <w:rPr>
                <w:rFonts w:hint="default" w:ascii="Times New Roman" w:hAnsi="Times New Roman" w:eastAsia="仿宋" w:cs="Times New Roman"/>
                <w:color w:val="auto"/>
                <w:spacing w:val="1"/>
                <w:w w:val="88"/>
                <w:kern w:val="0"/>
                <w:sz w:val="24"/>
                <w:szCs w:val="24"/>
                <w:highlight w:val="none"/>
                <w:u w:val="none"/>
                <w:fitText w:val="1560" w:id="749369026"/>
                <w:vertAlign w:val="baseline"/>
                <w:lang w:val="en-US" w:eastAsia="zh-CN"/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1"/>
                <w:w w:val="88"/>
                <w:kern w:val="0"/>
                <w:sz w:val="24"/>
                <w:szCs w:val="24"/>
                <w:highlight w:val="none"/>
                <w:u w:val="none"/>
                <w:fitText w:val="1560" w:id="749369026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2"/>
                <w:w w:val="88"/>
                <w:kern w:val="0"/>
                <w:sz w:val="24"/>
                <w:szCs w:val="24"/>
                <w:highlight w:val="none"/>
                <w:u w:val="none"/>
                <w:fitText w:val="1560" w:id="749369026"/>
              </w:rPr>
              <w:t>分</w:t>
            </w:r>
          </w:p>
        </w:tc>
        <w:tc>
          <w:tcPr>
            <w:tcW w:w="410" w:type="pct"/>
            <w:noWrap/>
            <w:vAlign w:val="center"/>
          </w:tcPr>
          <w:p w14:paraId="738882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6B746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657" w:type="pct"/>
            <w:vMerge w:val="continue"/>
            <w:noWrap/>
            <w:vAlign w:val="center"/>
          </w:tcPr>
          <w:p w14:paraId="1C7F50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</w:p>
        </w:tc>
        <w:tc>
          <w:tcPr>
            <w:tcW w:w="657" w:type="pct"/>
            <w:vMerge w:val="continue"/>
            <w:noWrap/>
            <w:vAlign w:val="center"/>
          </w:tcPr>
          <w:p w14:paraId="110B60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266" w:type="pct"/>
            <w:gridSpan w:val="2"/>
            <w:noWrap/>
            <w:vAlign w:val="center"/>
          </w:tcPr>
          <w:p w14:paraId="4B1A19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  <w:t>评估结果调整情况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（资产基础法评估结果调整比例以总资产评估值为计算基数）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  <w:t>。（8分）</w:t>
            </w:r>
          </w:p>
        </w:tc>
        <w:tc>
          <w:tcPr>
            <w:tcW w:w="1007" w:type="pct"/>
            <w:gridSpan w:val="2"/>
            <w:noWrap/>
            <w:vAlign w:val="center"/>
          </w:tcPr>
          <w:p w14:paraId="74512B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  <w:t>未调整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  <w:t>8分</w:t>
            </w:r>
          </w:p>
          <w:p w14:paraId="6D1A67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  <w:t>小于5%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  <w:t>5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  <w:t>7分</w:t>
            </w:r>
          </w:p>
          <w:p w14:paraId="1EE09E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  <w:t>5%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  <w:t>10%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  <w:t>1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  <w:t>4分</w:t>
            </w:r>
          </w:p>
          <w:p w14:paraId="650D86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  <w:t>大于10%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  <w:t>0分</w:t>
            </w:r>
          </w:p>
        </w:tc>
        <w:tc>
          <w:tcPr>
            <w:tcW w:w="410" w:type="pct"/>
            <w:noWrap/>
            <w:vAlign w:val="center"/>
          </w:tcPr>
          <w:p w14:paraId="2769D6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09AAF8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15" w:type="pct"/>
            <w:gridSpan w:val="2"/>
            <w:noWrap/>
            <w:vAlign w:val="center"/>
          </w:tcPr>
          <w:p w14:paraId="78B9C3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  <w:u w:val="none"/>
              </w:rPr>
              <w:t>合计分数</w:t>
            </w:r>
          </w:p>
        </w:tc>
        <w:tc>
          <w:tcPr>
            <w:tcW w:w="3684" w:type="pct"/>
            <w:gridSpan w:val="5"/>
            <w:noWrap/>
            <w:vAlign w:val="center"/>
          </w:tcPr>
          <w:p w14:paraId="1F4055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 w14:paraId="505A2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15" w:type="pct"/>
            <w:gridSpan w:val="2"/>
            <w:noWrap/>
            <w:vAlign w:val="center"/>
          </w:tcPr>
          <w:p w14:paraId="0724F2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不良记录</w:t>
            </w:r>
          </w:p>
        </w:tc>
        <w:tc>
          <w:tcPr>
            <w:tcW w:w="3684" w:type="pct"/>
            <w:gridSpan w:val="5"/>
            <w:noWrap/>
            <w:vAlign w:val="center"/>
          </w:tcPr>
          <w:p w14:paraId="1EDF8B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  <w:t>如存在十二、十三、十四条中情形，请具体说明</w:t>
            </w:r>
          </w:p>
        </w:tc>
      </w:tr>
      <w:tr w14:paraId="4BAE82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15" w:type="pct"/>
            <w:gridSpan w:val="2"/>
            <w:noWrap/>
            <w:vAlign w:val="center"/>
          </w:tcPr>
          <w:p w14:paraId="1D9186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  <w:u w:val="none"/>
              </w:rPr>
              <w:t>评价人（评价单位）</w:t>
            </w:r>
          </w:p>
        </w:tc>
        <w:tc>
          <w:tcPr>
            <w:tcW w:w="1744" w:type="pct"/>
            <w:noWrap/>
            <w:vAlign w:val="center"/>
          </w:tcPr>
          <w:p w14:paraId="09C314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55" w:type="pct"/>
            <w:gridSpan w:val="2"/>
            <w:noWrap/>
            <w:vAlign w:val="center"/>
          </w:tcPr>
          <w:p w14:paraId="767FEF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  <w:u w:val="none"/>
              </w:rPr>
              <w:t>评价时间</w:t>
            </w:r>
          </w:p>
        </w:tc>
        <w:tc>
          <w:tcPr>
            <w:tcW w:w="1184" w:type="pct"/>
            <w:gridSpan w:val="2"/>
            <w:noWrap/>
            <w:vAlign w:val="center"/>
          </w:tcPr>
          <w:p w14:paraId="43EFD8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</w:tbl>
    <w:p w14:paraId="6262C5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0" w:line="240" w:lineRule="auto"/>
        <w:ind w:firstLine="482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24"/>
          <w:szCs w:val="24"/>
          <w:highlight w:val="none"/>
          <w:u w:val="none"/>
        </w:rPr>
        <w:t>填报说明：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u w:val="none"/>
        </w:rPr>
        <w:t>评估说明内容的完整性、合理性打分部分，如果采用两种评估方法进行评估，两种评估方法的分值分别为20分，整体情况分值为5分。如果只采用一种评估方法进行评估，则该评估方法的分值为40分，打分后扣除5分作为此部分得分，整体情况分值为5分。</w:t>
      </w:r>
    </w:p>
    <w:p w14:paraId="09BB79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82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24"/>
          <w:szCs w:val="24"/>
          <w:highlight w:val="none"/>
          <w:u w:val="none"/>
          <w:lang w:val="en-US" w:eastAsia="zh-CN"/>
        </w:rPr>
        <w:t>注：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u w:val="none"/>
          <w:lang w:val="en-US" w:eastAsia="zh-CN"/>
        </w:rPr>
        <w:t>1.股东权益评估项目以资产基础法评估结果作为评估结果的，评估结果调整比例=（净资产最终评估结果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  <w:lang w:val="en-US" w:eastAsia="zh-CN"/>
        </w:rPr>
        <w:t>－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u w:val="none"/>
          <w:lang w:val="en-US" w:eastAsia="zh-CN"/>
        </w:rPr>
        <w:t>净资产首次报送评估结果）/总资产首次报送评估结果；以其他评估方法作为评估结果的，评估结果调整比例=（净资产最终评估结果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  <w:lang w:val="en-US" w:eastAsia="zh-CN"/>
        </w:rPr>
        <w:t>－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u w:val="none"/>
          <w:lang w:val="en-US" w:eastAsia="zh-CN"/>
        </w:rPr>
        <w:t>净资产首次报送评估结果）/净资产首次报送评估结果。</w:t>
      </w:r>
    </w:p>
    <w:p w14:paraId="001D04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964" w:firstLineChars="400"/>
        <w:textAlignment w:val="auto"/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24"/>
          <w:szCs w:val="24"/>
          <w:highlight w:val="none"/>
          <w:u w:val="none"/>
          <w:lang w:val="en-US" w:eastAsia="zh-CN"/>
        </w:rPr>
        <w:t>2.排名评价结果（由</w:t>
      </w:r>
      <w:r>
        <w:rPr>
          <w:rFonts w:hint="eastAsia" w:ascii="仿宋_GB2312" w:hAnsi="仿宋_GB2312" w:eastAsia="仿宋_GB2312" w:cs="仿宋_GB2312"/>
          <w:b/>
          <w:bCs/>
          <w:color w:val="auto"/>
          <w:sz w:val="24"/>
          <w:szCs w:val="24"/>
          <w:highlight w:val="none"/>
          <w:u w:val="none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24"/>
          <w:szCs w:val="24"/>
          <w:highlight w:val="none"/>
          <w:u w:val="none"/>
          <w:lang w:val="en-US" w:eastAsia="zh-CN"/>
        </w:rPr>
        <w:t>智慧国资</w:t>
      </w:r>
      <w:r>
        <w:rPr>
          <w:rFonts w:hint="eastAsia" w:ascii="仿宋_GB2312" w:hAnsi="仿宋_GB2312" w:eastAsia="仿宋_GB2312" w:cs="仿宋_GB2312"/>
          <w:b/>
          <w:bCs/>
          <w:color w:val="auto"/>
          <w:sz w:val="24"/>
          <w:szCs w:val="24"/>
          <w:highlight w:val="none"/>
          <w:u w:val="none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24"/>
          <w:szCs w:val="24"/>
          <w:highlight w:val="none"/>
          <w:u w:val="none"/>
          <w:lang w:val="en-US" w:eastAsia="zh-CN"/>
        </w:rPr>
        <w:t>系统统一处理）：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4"/>
          <w:szCs w:val="24"/>
          <w:highlight w:val="none"/>
          <w:u w:val="none"/>
          <w:lang w:val="en-US" w:eastAsia="zh-CN"/>
        </w:rPr>
        <w:t>合计分数×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u w:val="none"/>
          <w:lang w:eastAsia="zh-CN"/>
        </w:rPr>
        <w:t>企业数量修正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u w:val="none"/>
          <w:lang w:val="en-US" w:eastAsia="zh-CN"/>
        </w:rPr>
        <w:t>×资产规模修正系数。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u w:val="none"/>
          <w:lang w:eastAsia="zh-CN"/>
        </w:rPr>
        <w:t>企业数量修正系数（出具企业独立评估说明的数量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u w:val="none"/>
          <w:lang w:val="en-US" w:eastAsia="zh-CN"/>
        </w:rPr>
        <w:t>10-100家为1.1，100家以上为1.2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u w:val="none"/>
          <w:lang w:eastAsia="zh-CN"/>
        </w:rPr>
        <w:t>）；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u w:val="none"/>
          <w:lang w:val="en-US" w:eastAsia="zh-CN"/>
        </w:rPr>
        <w:t>资产规模修正系数（资产评估值低于5000万为0.9，10亿-100亿元为1.05，高于100亿元为1.1）。</w:t>
      </w:r>
    </w:p>
    <w:p w14:paraId="69AD68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0" w:firstLineChars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  <w:bookmarkStart w:id="0" w:name="_GoBack"/>
      <w:bookmarkEnd w:id="0"/>
    </w:p>
    <w:sectPr>
      <w:footerReference r:id="rId3" w:type="default"/>
      <w:pgSz w:w="11906" w:h="16838"/>
      <w:pgMar w:top="1440" w:right="1587" w:bottom="1440" w:left="1587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78828AB-99DF-4E20-BE69-9ABE8C14B55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3CA6B6C3-245C-49E0-9F32-91DA14D1D64A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1A960777-5544-47A2-B35B-37169E7A1181}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  <w:embedRegular r:id="rId4" w:fontKey="{060C4E5C-9C35-453B-AC33-04F39D76FE4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4F87D986-B8AF-4B56-BECB-00BEE2B75DDE}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3808D3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FA0D894">
                          <w:pPr>
                            <w:pStyle w:val="3"/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FA0D894">
                    <w:pPr>
                      <w:pStyle w:val="3"/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</w:pP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mOGVlODdkYWI2MjM0ZGVkMWE4ODg0Y2Y2NzlhZTcifQ=="/>
  </w:docVars>
  <w:rsids>
    <w:rsidRoot w:val="2E3B2CA2"/>
    <w:rsid w:val="00D3265E"/>
    <w:rsid w:val="01CE3A49"/>
    <w:rsid w:val="02223D56"/>
    <w:rsid w:val="02913ED0"/>
    <w:rsid w:val="02A46519"/>
    <w:rsid w:val="058D598A"/>
    <w:rsid w:val="05FF1243"/>
    <w:rsid w:val="0608575E"/>
    <w:rsid w:val="06533545"/>
    <w:rsid w:val="08147AC3"/>
    <w:rsid w:val="08A34016"/>
    <w:rsid w:val="0C0A15BD"/>
    <w:rsid w:val="0C207237"/>
    <w:rsid w:val="0E8E75C9"/>
    <w:rsid w:val="0FB029A1"/>
    <w:rsid w:val="107E1CFA"/>
    <w:rsid w:val="10B937E7"/>
    <w:rsid w:val="10DB1C9F"/>
    <w:rsid w:val="118C2F9A"/>
    <w:rsid w:val="11DA5AB3"/>
    <w:rsid w:val="12574096"/>
    <w:rsid w:val="12B842F0"/>
    <w:rsid w:val="133F2EE1"/>
    <w:rsid w:val="138528B6"/>
    <w:rsid w:val="14936C81"/>
    <w:rsid w:val="153F62C9"/>
    <w:rsid w:val="1A6024B5"/>
    <w:rsid w:val="1AFA02FC"/>
    <w:rsid w:val="1B065B6B"/>
    <w:rsid w:val="1CBC0BD7"/>
    <w:rsid w:val="1D82616E"/>
    <w:rsid w:val="1DCE14EB"/>
    <w:rsid w:val="1DFB74DD"/>
    <w:rsid w:val="1F026649"/>
    <w:rsid w:val="1FE30F32"/>
    <w:rsid w:val="226205D6"/>
    <w:rsid w:val="22C73531"/>
    <w:rsid w:val="245B2682"/>
    <w:rsid w:val="28C334D0"/>
    <w:rsid w:val="28D04EA7"/>
    <w:rsid w:val="28D74176"/>
    <w:rsid w:val="2B8051DB"/>
    <w:rsid w:val="2B9B22FF"/>
    <w:rsid w:val="2DD136C7"/>
    <w:rsid w:val="2E26728F"/>
    <w:rsid w:val="2E3B2CA2"/>
    <w:rsid w:val="2EA1045A"/>
    <w:rsid w:val="2FF224B1"/>
    <w:rsid w:val="327F64D7"/>
    <w:rsid w:val="338979AC"/>
    <w:rsid w:val="34D32719"/>
    <w:rsid w:val="37BF7375"/>
    <w:rsid w:val="39A905A4"/>
    <w:rsid w:val="39BA1BA2"/>
    <w:rsid w:val="3A184B1B"/>
    <w:rsid w:val="3A886022"/>
    <w:rsid w:val="3B4E5EE7"/>
    <w:rsid w:val="3B89215E"/>
    <w:rsid w:val="3BCE402B"/>
    <w:rsid w:val="3CC04321"/>
    <w:rsid w:val="3D346110"/>
    <w:rsid w:val="3EB2553E"/>
    <w:rsid w:val="3F3441A5"/>
    <w:rsid w:val="40757BB8"/>
    <w:rsid w:val="41FF1F8F"/>
    <w:rsid w:val="42246753"/>
    <w:rsid w:val="42F06635"/>
    <w:rsid w:val="445819BD"/>
    <w:rsid w:val="46016181"/>
    <w:rsid w:val="48313978"/>
    <w:rsid w:val="498E7FEC"/>
    <w:rsid w:val="49CF51F6"/>
    <w:rsid w:val="4AE20051"/>
    <w:rsid w:val="4B0D1F4D"/>
    <w:rsid w:val="4D416E20"/>
    <w:rsid w:val="4EC34DA1"/>
    <w:rsid w:val="507B11FB"/>
    <w:rsid w:val="51853D91"/>
    <w:rsid w:val="52873D72"/>
    <w:rsid w:val="572A43B4"/>
    <w:rsid w:val="58315BF8"/>
    <w:rsid w:val="585B62F1"/>
    <w:rsid w:val="588C0756"/>
    <w:rsid w:val="589F7F28"/>
    <w:rsid w:val="58A837E2"/>
    <w:rsid w:val="597D27E9"/>
    <w:rsid w:val="59B6745D"/>
    <w:rsid w:val="59F32D99"/>
    <w:rsid w:val="5AFF16B3"/>
    <w:rsid w:val="5B3D33B1"/>
    <w:rsid w:val="5C0A6B94"/>
    <w:rsid w:val="5C604747"/>
    <w:rsid w:val="5DAC5861"/>
    <w:rsid w:val="618B3CA1"/>
    <w:rsid w:val="61C06593"/>
    <w:rsid w:val="62CF061A"/>
    <w:rsid w:val="6389264D"/>
    <w:rsid w:val="6437237D"/>
    <w:rsid w:val="673D29AB"/>
    <w:rsid w:val="67882E30"/>
    <w:rsid w:val="6B5D323B"/>
    <w:rsid w:val="6CA95923"/>
    <w:rsid w:val="6DCD3AD2"/>
    <w:rsid w:val="6E1E63E3"/>
    <w:rsid w:val="6E306B8F"/>
    <w:rsid w:val="6E3F209B"/>
    <w:rsid w:val="6FE74798"/>
    <w:rsid w:val="7081689B"/>
    <w:rsid w:val="71251C50"/>
    <w:rsid w:val="72442376"/>
    <w:rsid w:val="72FD3534"/>
    <w:rsid w:val="73476FD4"/>
    <w:rsid w:val="73CA1C9B"/>
    <w:rsid w:val="746F3611"/>
    <w:rsid w:val="7561280B"/>
    <w:rsid w:val="77713434"/>
    <w:rsid w:val="788621DB"/>
    <w:rsid w:val="79294073"/>
    <w:rsid w:val="7A11188C"/>
    <w:rsid w:val="7D084BCF"/>
    <w:rsid w:val="7DFB4642"/>
    <w:rsid w:val="7E252A47"/>
    <w:rsid w:val="7F03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napToGrid w:val="0"/>
      <w:spacing w:line="300" w:lineRule="auto"/>
      <w:ind w:firstLine="556"/>
    </w:pPr>
    <w:rPr>
      <w:rFonts w:ascii="仿宋_GB2312" w:hAnsi="Times New Roman" w:eastAsia="仿宋_GB2312" w:cs="Times New Roman"/>
      <w:kern w:val="0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3840</Words>
  <Characters>4117</Characters>
  <Lines>0</Lines>
  <Paragraphs>0</Paragraphs>
  <TotalTime>21</TotalTime>
  <ScaleCrop>false</ScaleCrop>
  <LinksUpToDate>false</LinksUpToDate>
  <CharactersWithSpaces>4153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2024-08-07T06:44:00Z</dcterms:created>
  <dc:creator>胡培</dc:creator>
  <cp:lastModifiedBy>王东</cp:lastModifiedBy>
  <cp:lastPrinted>2024-08-29T01:30:00Z</cp:lastPrinted>
  <dcterms:modified xsi:type="dcterms:W3CDTF">2024-09-12T05:29:18Z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5FC6FE8000B74DFF9AD49D784229289E_13</vt:lpwstr>
  </property>
</Properties>
</file>